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C1" w:rsidRDefault="00762DC1" w:rsidP="00DA4221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762DC1" w:rsidP="00452CD9">
      <w:pPr>
        <w:widowControl w:val="0"/>
        <w:tabs>
          <w:tab w:val="right" w:pos="360"/>
          <w:tab w:val="left" w:pos="576"/>
        </w:tabs>
        <w:spacing w:before="240" w:after="0" w:line="320" w:lineRule="exact"/>
        <w:jc w:val="right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 xml:space="preserve">MNKS jelentésminta </w:t>
      </w:r>
      <w:r w:rsidR="00546D50">
        <w:rPr>
          <w:rFonts w:ascii="Times New Roman" w:hAnsi="Times New Roman"/>
          <w:b/>
          <w:bCs/>
          <w:sz w:val="20"/>
          <w:szCs w:val="20"/>
          <w:lang w:val="hu-HU"/>
        </w:rPr>
        <w:t>felülvizsgálat</w:t>
      </w:r>
      <w:r w:rsidR="00546D50">
        <w:rPr>
          <w:rFonts w:ascii="Times New Roman" w:hAnsi="Times New Roman"/>
          <w:b/>
          <w:bCs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2017. június (munkaanyag)</w:t>
      </w:r>
    </w:p>
    <w:p w:rsidR="00762DC1" w:rsidRDefault="00762DC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762DC1" w:rsidRDefault="00762DC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függetlenek vagyunk a Társaságtól, és ugyanezen etikai követelményekkel összhangban eleget tett</w:t>
      </w:r>
      <w:r w:rsidR="009825E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9825E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9825E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r w:rsidR="009825E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>A jelentésem(ünk) „Vélemény” szakaszában az éves 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általam(unk) végzett könyvvizsgálatával kapcsolatban az én (a mi) felelősségem(ünk)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</w:t>
      </w:r>
      <w:r w:rsidR="00E43303">
        <w:rPr>
          <w:rFonts w:ascii="Times New Roman" w:hAnsi="Times New Roman"/>
          <w:sz w:val="20"/>
          <w:szCs w:val="20"/>
          <w:lang w:val="hu-HU"/>
        </w:rPr>
        <w:t xml:space="preserve">fennáll-e az összhang az üzleti jelentés és az éves beszámoló között, vagy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 ellentmond</w:t>
      </w:r>
      <w:r w:rsidR="00E43303">
        <w:rPr>
          <w:rFonts w:ascii="Times New Roman" w:hAnsi="Times New Roman"/>
          <w:sz w:val="20"/>
          <w:szCs w:val="20"/>
          <w:lang w:val="hu-HU"/>
        </w:rPr>
        <w:t>ásban áll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az éves beszámoló</w:t>
      </w:r>
      <w:r w:rsidR="00E43303">
        <w:rPr>
          <w:rFonts w:ascii="Times New Roman" w:hAnsi="Times New Roman"/>
          <w:sz w:val="20"/>
          <w:szCs w:val="20"/>
          <w:lang w:val="hu-HU"/>
        </w:rPr>
        <w:t>val</w:t>
      </w:r>
      <w:r>
        <w:rPr>
          <w:rFonts w:ascii="Times New Roman" w:hAnsi="Times New Roman"/>
          <w:sz w:val="20"/>
          <w:szCs w:val="20"/>
          <w:lang w:val="hu-HU"/>
        </w:rPr>
        <w:t xml:space="preserve"> vagy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könyvvizsgálat során </w:t>
      </w:r>
      <w:r w:rsidR="00E43303">
        <w:rPr>
          <w:rFonts w:ascii="Times New Roman" w:hAnsi="Times New Roman"/>
          <w:sz w:val="20"/>
          <w:szCs w:val="20"/>
          <w:lang w:val="hu-HU"/>
        </w:rPr>
        <w:t>meg</w:t>
      </w:r>
      <w:r w:rsidRPr="00D26E33">
        <w:rPr>
          <w:rFonts w:ascii="Times New Roman" w:hAnsi="Times New Roman"/>
          <w:sz w:val="20"/>
          <w:szCs w:val="20"/>
          <w:lang w:val="hu-HU"/>
        </w:rPr>
        <w:t>szerzett ismereteim</w:t>
      </w:r>
      <w:r w:rsidR="00E43303">
        <w:rPr>
          <w:rFonts w:ascii="Times New Roman" w:hAnsi="Times New Roman"/>
          <w:sz w:val="20"/>
          <w:szCs w:val="20"/>
          <w:lang w:val="hu-HU"/>
        </w:rPr>
        <w:t>mel</w:t>
      </w:r>
      <w:r w:rsidRPr="00D26E33">
        <w:rPr>
          <w:rFonts w:ascii="Times New Roman" w:hAnsi="Times New Roman"/>
          <w:sz w:val="20"/>
          <w:szCs w:val="20"/>
          <w:lang w:val="hu-HU"/>
        </w:rPr>
        <w:t>(ink</w:t>
      </w:r>
      <w:r w:rsidR="00E43303">
        <w:rPr>
          <w:rFonts w:ascii="Times New Roman" w:hAnsi="Times New Roman"/>
          <w:sz w:val="20"/>
          <w:szCs w:val="20"/>
          <w:lang w:val="hu-HU"/>
        </w:rPr>
        <w:t>kel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</w:t>
      </w:r>
      <w:r w:rsidR="00E43303">
        <w:rPr>
          <w:rFonts w:ascii="Times New Roman" w:hAnsi="Times New Roman"/>
          <w:sz w:val="20"/>
          <w:szCs w:val="20"/>
          <w:lang w:val="hu-HU"/>
        </w:rPr>
        <w:t xml:space="preserve">üzleti jelentés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</w:p>
    <w:p w:rsidR="00E43303" w:rsidRPr="000B2BF8" w:rsidRDefault="00E43303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00171A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EC4D4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ismereteim(</w:t>
      </w:r>
      <w:r w:rsidRPr="000B2BF8">
        <w:rPr>
          <w:rFonts w:ascii="Times New Roman" w:hAnsi="Times New Roman"/>
          <w:sz w:val="20"/>
          <w:szCs w:val="20"/>
          <w:lang w:val="hu-HU"/>
        </w:rPr>
        <w:t xml:space="preserve">nk) alapján jelentést kell tennem(ünk) arról, hogy </w:t>
      </w:r>
      <w:r w:rsidRPr="00780171">
        <w:rPr>
          <w:rFonts w:ascii="Times New Roman" w:hAnsi="Times New Roman"/>
          <w:sz w:val="20"/>
          <w:szCs w:val="20"/>
          <w:lang w:val="hu-HU"/>
        </w:rPr>
        <w:t>jutott-e a tudomásomra(unkra) az üzleti jelen</w:t>
      </w:r>
      <w:r w:rsidR="00D206D7" w:rsidRPr="00780171">
        <w:rPr>
          <w:rFonts w:ascii="Times New Roman" w:hAnsi="Times New Roman"/>
          <w:sz w:val="20"/>
          <w:szCs w:val="20"/>
          <w:lang w:val="hu-HU"/>
        </w:rPr>
        <w:t>tésben tett</w:t>
      </w:r>
      <w:r w:rsidRPr="00780171">
        <w:rPr>
          <w:rFonts w:ascii="Times New Roman" w:hAnsi="Times New Roman"/>
          <w:sz w:val="20"/>
          <w:szCs w:val="20"/>
          <w:lang w:val="hu-HU"/>
        </w:rPr>
        <w:t xml:space="preserve"> bármely</w:t>
      </w:r>
      <w:r w:rsidR="00D206D7" w:rsidRPr="00780171">
        <w:rPr>
          <w:rFonts w:ascii="Times New Roman" w:hAnsi="Times New Roman"/>
          <w:sz w:val="20"/>
          <w:szCs w:val="20"/>
          <w:lang w:val="hu-HU"/>
        </w:rPr>
        <w:t>,</w:t>
      </w:r>
      <w:r w:rsidRPr="00780171">
        <w:rPr>
          <w:rFonts w:ascii="Times New Roman" w:hAnsi="Times New Roman"/>
          <w:sz w:val="20"/>
          <w:szCs w:val="20"/>
          <w:lang w:val="hu-HU"/>
        </w:rPr>
        <w:t xml:space="preserve"> lényegesnek tekinthető hibás közlés (lényeges hibás állítás)</w:t>
      </w:r>
      <w:r w:rsidR="00D206D7" w:rsidRPr="00780171">
        <w:rPr>
          <w:rFonts w:ascii="Times New Roman" w:hAnsi="Times New Roman"/>
          <w:sz w:val="20"/>
          <w:szCs w:val="20"/>
          <w:lang w:val="hu-HU"/>
        </w:rPr>
        <w:t>,</w:t>
      </w:r>
      <w:r w:rsidRPr="00780171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D206D7" w:rsidRPr="00780171">
        <w:rPr>
          <w:rFonts w:ascii="Times New Roman" w:hAnsi="Times New Roman"/>
          <w:sz w:val="20"/>
          <w:szCs w:val="20"/>
          <w:lang w:val="hu-HU"/>
        </w:rPr>
        <w:t>valamint</w:t>
      </w:r>
      <w:r w:rsidRPr="00780171">
        <w:rPr>
          <w:rFonts w:ascii="Times New Roman" w:hAnsi="Times New Roman"/>
          <w:sz w:val="20"/>
          <w:szCs w:val="20"/>
          <w:lang w:val="hu-HU"/>
        </w:rPr>
        <w:t xml:space="preserve"> arról, hogy </w:t>
      </w:r>
      <w:r w:rsidR="00D206D7" w:rsidRPr="00780171">
        <w:rPr>
          <w:rFonts w:ascii="Times New Roman" w:hAnsi="Times New Roman"/>
          <w:sz w:val="20"/>
          <w:szCs w:val="20"/>
          <w:lang w:val="hu-HU"/>
        </w:rPr>
        <w:t>ha volt lényeges</w:t>
      </w:r>
      <w:r w:rsidRPr="00780171">
        <w:rPr>
          <w:rFonts w:ascii="Times New Roman" w:hAnsi="Times New Roman"/>
          <w:sz w:val="20"/>
          <w:szCs w:val="20"/>
          <w:lang w:val="hu-HU"/>
        </w:rPr>
        <w:t xml:space="preserve"> hibás közlés (hibás állítás)</w:t>
      </w:r>
      <w:r w:rsidR="00D206D7" w:rsidRPr="00780171">
        <w:rPr>
          <w:rFonts w:ascii="Times New Roman" w:hAnsi="Times New Roman"/>
          <w:sz w:val="20"/>
          <w:szCs w:val="20"/>
          <w:lang w:val="hu-HU"/>
        </w:rPr>
        <w:t>, az milyen jellegű</w:t>
      </w:r>
      <w:r w:rsidRPr="0000171A">
        <w:rPr>
          <w:rFonts w:ascii="Times New Roman" w:hAnsi="Times New Roman"/>
          <w:sz w:val="20"/>
          <w:szCs w:val="20"/>
          <w:lang w:val="hu-HU"/>
        </w:rPr>
        <w:t>.</w:t>
      </w:r>
      <w:r w:rsidRPr="00EC4D4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B662F3" w:rsidRPr="00EC4D43">
        <w:rPr>
          <w:rFonts w:ascii="Times New Roman" w:hAnsi="Times New Roman"/>
          <w:sz w:val="20"/>
          <w:szCs w:val="20"/>
          <w:lang w:val="hu-HU"/>
        </w:rPr>
        <w:t>E tekintetben</w:t>
      </w:r>
      <w:r w:rsidR="0000171A" w:rsidRPr="000B2BF8">
        <w:rPr>
          <w:rFonts w:ascii="Times New Roman" w:hAnsi="Times New Roman"/>
          <w:sz w:val="20"/>
          <w:szCs w:val="20"/>
          <w:lang w:val="hu-HU"/>
        </w:rPr>
        <w:t>,</w:t>
      </w:r>
      <w:r w:rsidR="005300E7" w:rsidRPr="000B2BF8">
        <w:rPr>
          <w:rFonts w:ascii="Times New Roman" w:hAnsi="Times New Roman"/>
          <w:sz w:val="20"/>
          <w:szCs w:val="20"/>
          <w:lang w:val="hu-HU"/>
        </w:rPr>
        <w:t xml:space="preserve"> az üzleti jelentésről </w:t>
      </w:r>
      <w:r w:rsidR="0000171A" w:rsidRPr="000B2BF8">
        <w:rPr>
          <w:rFonts w:ascii="Times New Roman" w:hAnsi="Times New Roman"/>
          <w:sz w:val="20"/>
          <w:szCs w:val="20"/>
          <w:lang w:val="hu-HU"/>
        </w:rPr>
        <w:t xml:space="preserve">– </w:t>
      </w:r>
      <w:r w:rsidR="00B662F3" w:rsidRPr="000B2BF8">
        <w:rPr>
          <w:rFonts w:ascii="Times New Roman" w:hAnsi="Times New Roman"/>
          <w:sz w:val="20"/>
          <w:szCs w:val="20"/>
          <w:lang w:val="hu-HU"/>
        </w:rPr>
        <w:t>a s</w:t>
      </w:r>
      <w:r w:rsidR="0000171A" w:rsidRPr="000B2BF8">
        <w:rPr>
          <w:rFonts w:ascii="Times New Roman" w:hAnsi="Times New Roman"/>
          <w:sz w:val="20"/>
          <w:szCs w:val="20"/>
          <w:lang w:val="hu-HU"/>
        </w:rPr>
        <w:t>zámviteli törvény előírása alapján –</w:t>
      </w:r>
      <w:r w:rsidR="00EC4D4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5300E7" w:rsidRPr="00EC4D43">
        <w:rPr>
          <w:rFonts w:ascii="Times New Roman" w:hAnsi="Times New Roman"/>
          <w:sz w:val="20"/>
          <w:szCs w:val="20"/>
          <w:lang w:val="hu-HU"/>
        </w:rPr>
        <w:t xml:space="preserve">adott </w:t>
      </w:r>
      <w:r w:rsidR="00B662F3" w:rsidRPr="000B2BF8">
        <w:rPr>
          <w:rFonts w:ascii="Times New Roman" w:hAnsi="Times New Roman"/>
          <w:sz w:val="20"/>
          <w:szCs w:val="20"/>
          <w:lang w:val="hu-HU"/>
        </w:rPr>
        <w:t>vélemény</w:t>
      </w:r>
      <w:r w:rsidR="0000171A" w:rsidRPr="000B2BF8">
        <w:rPr>
          <w:rFonts w:ascii="Times New Roman" w:hAnsi="Times New Roman"/>
          <w:sz w:val="20"/>
          <w:szCs w:val="20"/>
          <w:lang w:val="hu-HU"/>
        </w:rPr>
        <w:t>,</w:t>
      </w:r>
      <w:r w:rsidR="00B662F3" w:rsidRPr="000B2BF8">
        <w:rPr>
          <w:rFonts w:ascii="Times New Roman" w:hAnsi="Times New Roman"/>
          <w:sz w:val="20"/>
          <w:szCs w:val="20"/>
          <w:lang w:val="hu-HU"/>
        </w:rPr>
        <w:t xml:space="preserve"> valamint </w:t>
      </w:r>
      <w:r w:rsidR="009760DE">
        <w:rPr>
          <w:rFonts w:ascii="Times New Roman" w:hAnsi="Times New Roman"/>
          <w:sz w:val="20"/>
          <w:szCs w:val="20"/>
          <w:lang w:val="hu-HU"/>
        </w:rPr>
        <w:t xml:space="preserve">attól elkülönült </w:t>
      </w:r>
      <w:r w:rsidR="0000171A" w:rsidRPr="000B2BF8">
        <w:rPr>
          <w:rFonts w:ascii="Times New Roman" w:hAnsi="Times New Roman"/>
          <w:sz w:val="20"/>
          <w:szCs w:val="20"/>
          <w:lang w:val="hu-HU"/>
        </w:rPr>
        <w:t>nyilatkozat</w:t>
      </w:r>
      <w:r w:rsidR="00B662F3" w:rsidRPr="000B2BF8">
        <w:rPr>
          <w:rFonts w:ascii="Times New Roman" w:hAnsi="Times New Roman"/>
          <w:sz w:val="20"/>
          <w:szCs w:val="20"/>
          <w:lang w:val="hu-HU"/>
        </w:rPr>
        <w:t xml:space="preserve"> formájában teszek(ünk) jelentést</w:t>
      </w:r>
      <w:r w:rsidR="006541E7" w:rsidRPr="000B2BF8">
        <w:rPr>
          <w:rFonts w:ascii="Times New Roman" w:hAnsi="Times New Roman"/>
          <w:sz w:val="20"/>
          <w:szCs w:val="20"/>
          <w:lang w:val="hu-HU"/>
        </w:rPr>
        <w:t>.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F7DB6">
        <w:rPr>
          <w:rFonts w:ascii="Times New Roman" w:hAnsi="Times New Roman"/>
          <w:kern w:val="8"/>
          <w:sz w:val="20"/>
          <w:szCs w:val="20"/>
          <w:lang w:val="hu-HU" w:bidi="he-IL"/>
        </w:rPr>
        <w:t>[az üzleti jelentéssel</w:t>
      </w:r>
      <w:r w:rsidR="000F7DB6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 w:rsidR="000F7DB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én (a mi)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Véleményem(ünk) szerint a (Cégnév) 201X. évi üzleti jelentése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>,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C53AD">
        <w:rPr>
          <w:rFonts w:ascii="Times New Roman" w:hAnsi="Times New Roman"/>
          <w:kern w:val="8"/>
          <w:sz w:val="20"/>
          <w:szCs w:val="20"/>
          <w:lang w:val="hu-HU" w:bidi="he-IL"/>
        </w:rPr>
        <w:t>minden lényeges vonatkozásban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>,</w:t>
      </w:r>
      <w:r w:rsidR="009C53A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>,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z üzleti jelentés </w:t>
      </w:r>
      <w:r w:rsidR="00564D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előírásaival összhangban készült.</w:t>
      </w:r>
      <w:r w:rsidR="005300E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 w:rsidR="00564D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mondok(unk)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</w:p>
    <w:p w:rsidR="00DB7B78" w:rsidRPr="00D26E33" w:rsidRDefault="00DB7B78" w:rsidP="00DB7B78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6259E"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jelentésről</w:t>
      </w:r>
      <w:r w:rsidR="00BD405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adott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proofErr w:type="gram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ben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foglaltakon</w:t>
      </w:r>
      <w:r w:rsidR="00C1101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túlmenően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, egyéb tekintetben lényegesnek ítélhető hibás közlésről (hibás állításról) nincs jelenteni valóm(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  <w:r w:rsidR="009825E5">
        <w:rPr>
          <w:rStyle w:val="Lbjegyzet-hivatkozs"/>
          <w:rFonts w:ascii="Times New Roman" w:hAnsi="Times New Roman"/>
          <w:kern w:val="8"/>
          <w:sz w:val="20"/>
          <w:szCs w:val="20"/>
          <w:lang w:val="hu-HU" w:bidi="he-IL"/>
        </w:rPr>
        <w:footnoteReference w:id="1"/>
      </w:r>
      <w:r w:rsidR="00C11015" w:rsidRPr="00276D44">
        <w:rPr>
          <w:rFonts w:ascii="Times New Roman" w:hAnsi="Times New Roman"/>
          <w:i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 üzleti jelentésre vonatkozó további követelményeket előíró egyéb más jogszabályt(okat)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C1101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Véleményem(ünk) szerint a (Cégnév) 201X. évi üzleti jelentése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>,</w:t>
      </w:r>
      <w:r w:rsidR="007D7B6D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vonatkozásban,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>,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 összhangban készült.</w:t>
      </w:r>
    </w:p>
    <w:p w:rsidR="00C11015" w:rsidRPr="00D26E33" w:rsidRDefault="00C11015" w:rsidP="00C1101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jelentésről adott </w:t>
      </w:r>
      <w:proofErr w:type="gram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ben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foglaltakon túlmenően, egyéb tekintetben lényegesnek ítélhető hibás közlésről (hibás állításról) nincs jelenteni valóm(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  <w:r w:rsidR="00780171">
        <w:rPr>
          <w:rStyle w:val="Lbjegyzet-hivatkozs"/>
          <w:rFonts w:ascii="Times New Roman" w:hAnsi="Times New Roman"/>
          <w:kern w:val="8"/>
          <w:sz w:val="20"/>
          <w:szCs w:val="20"/>
          <w:lang w:val="hu-HU" w:bidi="he-IL"/>
        </w:rPr>
        <w:footnoteReference w:id="2"/>
      </w:r>
      <w:r w:rsidRPr="00680D14">
        <w:rPr>
          <w:rFonts w:ascii="Times New Roman" w:hAnsi="Times New Roman"/>
          <w:i/>
          <w:kern w:val="8"/>
          <w:sz w:val="20"/>
          <w:szCs w:val="20"/>
          <w:lang w:val="hu-HU" w:bidi="he-IL"/>
        </w:rPr>
        <w:t>]</w:t>
      </w:r>
    </w:p>
    <w:p w:rsidR="009D2470" w:rsidRPr="00276D44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bookmarkStart w:id="0" w:name="_GoBack"/>
      <w:bookmarkEnd w:id="0"/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</w:t>
      </w:r>
      <w:r w:rsidRPr="00D26E33">
        <w:rPr>
          <w:color w:val="000000"/>
          <w:lang w:val="hu-HU"/>
        </w:rPr>
        <w:lastRenderedPageBreak/>
        <w:t>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1E2511" w:rsidRDefault="001E2511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1E251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pénzügyi kimutatások könyvvizsgálatáért való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további </w:t>
      </w:r>
      <w:r w:rsidRPr="001E2511">
        <w:rPr>
          <w:rFonts w:ascii="Times New Roman" w:hAnsi="Times New Roman"/>
          <w:kern w:val="8"/>
          <w:sz w:val="20"/>
          <w:szCs w:val="20"/>
          <w:lang w:val="hu-HU" w:bidi="he-IL"/>
        </w:rPr>
        <w:t>felelősségei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m(</w:t>
      </w:r>
      <w:r w:rsidRPr="001E2511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1E251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leírását a jelen könyvvizsgálói jelentés</w:t>
      </w:r>
      <w:r w:rsidR="00D92DD4">
        <w:rPr>
          <w:rFonts w:ascii="Times New Roman" w:hAnsi="Times New Roman"/>
          <w:kern w:val="8"/>
          <w:sz w:val="20"/>
          <w:szCs w:val="20"/>
          <w:lang w:val="hu-HU" w:bidi="he-IL"/>
        </w:rPr>
        <w:t>em(ünk)</w:t>
      </w:r>
      <w:r w:rsidRPr="001E251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melléklete tartalmazza</w:t>
      </w:r>
      <w:r w:rsidR="004A4B4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="00F1464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amely </w:t>
      </w:r>
      <w:r w:rsidR="00D92DD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melléklet </w:t>
      </w:r>
      <w:r w:rsidR="00F1464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könyvvizsgáló aláírását tartalmazó oldal után következik, és </w:t>
      </w:r>
      <w:r w:rsidR="004A4B47">
        <w:rPr>
          <w:rFonts w:ascii="Times New Roman" w:hAnsi="Times New Roman"/>
          <w:kern w:val="8"/>
          <w:sz w:val="20"/>
          <w:szCs w:val="20"/>
          <w:lang w:val="hu-HU" w:bidi="he-IL"/>
        </w:rPr>
        <w:t>amely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1E251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könyvvizsgálói jelentés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elválaszthatatlan </w:t>
      </w:r>
      <w:r w:rsidRPr="001E2511">
        <w:rPr>
          <w:rFonts w:ascii="Times New Roman" w:hAnsi="Times New Roman"/>
          <w:kern w:val="8"/>
          <w:sz w:val="20"/>
          <w:szCs w:val="20"/>
          <w:lang w:val="hu-HU" w:bidi="he-IL"/>
        </w:rPr>
        <w:t>részét képezi.</w:t>
      </w:r>
    </w:p>
    <w:p w:rsidR="001E2511" w:rsidRDefault="001E2511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743D82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1E2511" w:rsidRPr="003A48B3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2511" w:rsidRPr="00D26E33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2511" w:rsidRPr="00D26E33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1E2511" w:rsidRPr="00D26E33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1E2511" w:rsidRPr="00D26E33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1E2511" w:rsidRPr="00D26E33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1E2511" w:rsidRPr="00276D44" w:rsidRDefault="001E2511" w:rsidP="00276D44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Nyilvántartási szám</w:t>
      </w:r>
    </w:p>
    <w:p w:rsidR="001E2511" w:rsidRDefault="001E251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br w:type="page"/>
      </w:r>
    </w:p>
    <w:p w:rsidR="001E2511" w:rsidRPr="00276D44" w:rsidRDefault="001C19F3" w:rsidP="00276D44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76D44">
        <w:rPr>
          <w:rFonts w:ascii="Times New Roman" w:hAnsi="Times New Roman"/>
          <w:b/>
          <w:kern w:val="8"/>
          <w:sz w:val="20"/>
          <w:szCs w:val="20"/>
          <w:lang w:val="hu-HU" w:bidi="he-IL"/>
        </w:rPr>
        <w:lastRenderedPageBreak/>
        <w:t>MELLÉKLET</w:t>
      </w:r>
    </w:p>
    <w:p w:rsidR="001C19F3" w:rsidRPr="00276D44" w:rsidRDefault="00810608" w:rsidP="00276D44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76D44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az ABC társaság 201X. évi éves beszámolójáról kiadott független könyvvizsgálói jelentéshez</w:t>
      </w:r>
    </w:p>
    <w:p w:rsidR="001C19F3" w:rsidRDefault="001C19F3" w:rsidP="00276D44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810608" w:rsidRDefault="00810608" w:rsidP="00810608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1C19F3" w:rsidRPr="00276D44" w:rsidRDefault="00810608" w:rsidP="00810608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76D44">
        <w:rPr>
          <w:rFonts w:ascii="Times New Roman" w:hAnsi="Times New Roman"/>
          <w:b/>
          <w:kern w:val="8"/>
          <w:sz w:val="20"/>
          <w:szCs w:val="20"/>
          <w:lang w:val="hu-HU" w:bidi="he-IL"/>
        </w:rPr>
        <w:t>A könyvvizsgálónak a pénzügyi kimutatások könyvvizsgálatáért való további felelősségei a Magyar Nemzeti Könyvvizsgálati Standardokkal összhangban</w:t>
      </w:r>
    </w:p>
    <w:p w:rsidR="00810608" w:rsidRDefault="00810608" w:rsidP="00810608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01813" w:rsidRDefault="00810608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 részeként </w:t>
      </w:r>
      <w:r w:rsidR="000E18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egésze során 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alkalmazo</w:t>
      </w:r>
      <w:r w:rsidR="000E18F2">
        <w:rPr>
          <w:rFonts w:ascii="Times New Roman" w:hAnsi="Times New Roman"/>
          <w:kern w:val="8"/>
          <w:sz w:val="20"/>
          <w:szCs w:val="20"/>
          <w:lang w:val="hu-HU" w:bidi="he-IL"/>
        </w:rPr>
        <w:t>m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r w:rsidR="000E18F2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uk)</w:t>
      </w:r>
      <w:r w:rsidR="000E18F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</w:t>
      </w:r>
      <w:r w:rsidR="000E18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</w:t>
      </w:r>
      <w:r w:rsidR="000E18F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fenn</w:t>
      </w:r>
      <w:r w:rsidR="000E18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tarto</w:t>
      </w:r>
      <w:r w:rsidR="000E18F2">
        <w:rPr>
          <w:rFonts w:ascii="Times New Roman" w:hAnsi="Times New Roman"/>
          <w:kern w:val="8"/>
          <w:sz w:val="20"/>
          <w:szCs w:val="20"/>
          <w:lang w:val="hu-HU" w:bidi="he-IL"/>
        </w:rPr>
        <w:t>m</w:t>
      </w:r>
      <w:r w:rsidR="000E18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r w:rsidR="000E18F2">
        <w:rPr>
          <w:rFonts w:ascii="Times New Roman" w:hAnsi="Times New Roman"/>
          <w:kern w:val="8"/>
          <w:sz w:val="20"/>
          <w:szCs w:val="20"/>
          <w:lang w:val="hu-HU" w:bidi="he-IL"/>
        </w:rPr>
        <w:t>j</w:t>
      </w:r>
      <w:r w:rsidR="000E18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uk)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E18F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szakmai szkepticizmust.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</w:t>
      </w:r>
      <w:r w:rsidR="0090181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mellett</w:t>
      </w:r>
      <w:r w:rsidR="00487AB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könyvvizsgálat elvégzése során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27581F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m(jük) az éves beszámoló akár csalásból, akár hibából eredő lényeges hibás állításainak </w:t>
      </w:r>
      <w:r w:rsidR="009463C8">
        <w:rPr>
          <w:rFonts w:ascii="Times New Roman" w:hAnsi="Times New Roman"/>
          <w:kern w:val="20"/>
          <w:sz w:val="20"/>
          <w:szCs w:val="20"/>
          <w:lang w:val="hu-HU"/>
        </w:rPr>
        <w:t xml:space="preserve">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kockázatait, </w:t>
      </w:r>
      <w:r w:rsidR="00901813">
        <w:rPr>
          <w:rFonts w:ascii="Times New Roman" w:hAnsi="Times New Roman"/>
          <w:kern w:val="20"/>
          <w:sz w:val="20"/>
          <w:szCs w:val="20"/>
          <w:lang w:val="hu-HU"/>
        </w:rPr>
        <w:t>ki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alakíto</w:t>
      </w:r>
      <w:r w:rsidR="00901813">
        <w:rPr>
          <w:rFonts w:ascii="Times New Roman" w:hAnsi="Times New Roman"/>
          <w:kern w:val="20"/>
          <w:sz w:val="20"/>
          <w:szCs w:val="20"/>
          <w:lang w:val="hu-HU"/>
        </w:rPr>
        <w:t>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r w:rsidR="00901813">
        <w:rPr>
          <w:rFonts w:ascii="Times New Roman" w:hAnsi="Times New Roman"/>
          <w:kern w:val="20"/>
          <w:sz w:val="20"/>
          <w:szCs w:val="20"/>
          <w:lang w:val="hu-HU"/>
        </w:rPr>
        <w:t>j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uk) és </w:t>
      </w:r>
      <w:r w:rsidR="00901813">
        <w:rPr>
          <w:rFonts w:ascii="Times New Roman" w:hAnsi="Times New Roman"/>
          <w:kern w:val="20"/>
          <w:sz w:val="20"/>
          <w:szCs w:val="20"/>
          <w:lang w:val="hu-HU"/>
        </w:rPr>
        <w:t>végre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hajto</w:t>
      </w:r>
      <w:r w:rsidR="00546D50">
        <w:rPr>
          <w:rFonts w:ascii="Times New Roman" w:hAnsi="Times New Roman"/>
          <w:kern w:val="20"/>
          <w:sz w:val="20"/>
          <w:szCs w:val="20"/>
          <w:lang w:val="hu-HU"/>
        </w:rPr>
        <w:t>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r w:rsidR="00901813">
        <w:rPr>
          <w:rFonts w:ascii="Times New Roman" w:hAnsi="Times New Roman"/>
          <w:kern w:val="20"/>
          <w:sz w:val="20"/>
          <w:szCs w:val="20"/>
          <w:lang w:val="hu-HU"/>
        </w:rPr>
        <w:t>j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uk)</w:t>
      </w:r>
      <w:r w:rsidR="0090181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901813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="00901813"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="00901813"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szerzek(ünk)</w:t>
      </w:r>
      <w:r w:rsidR="009463C8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9463C8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A csalásból eredő lényeges hibás állítás fel nem tárásának </w:t>
      </w:r>
      <w:r w:rsidR="009463C8">
        <w:rPr>
          <w:rFonts w:ascii="Times New Roman" w:hAnsi="Times New Roman"/>
          <w:kern w:val="20"/>
          <w:sz w:val="20"/>
          <w:szCs w:val="20"/>
          <w:lang w:val="hu-HU"/>
        </w:rPr>
        <w:t xml:space="preserve">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</w:t>
      </w:r>
      <w:r w:rsidRPr="00C34F1F">
        <w:rPr>
          <w:rFonts w:ascii="Times New Roman" w:hAnsi="Times New Roman"/>
          <w:sz w:val="20"/>
          <w:szCs w:val="20"/>
          <w:lang w:val="hu-HU"/>
        </w:rPr>
        <w:t>azért,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hogy a Társaság belső kontrolljának hatékonyságára vonatkozóan véleményt nyilvánítsak(unk).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27581F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27581F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27581F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>Tudomására hoz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om</w:t>
      </w:r>
      <w:r w:rsidR="009D2470" w:rsidRPr="00D26E33">
        <w:rPr>
          <w:rFonts w:ascii="Times New Roman" w:hAnsi="Times New Roman"/>
          <w:spacing w:val="-4"/>
          <w:sz w:val="20"/>
          <w:szCs w:val="20"/>
          <w:lang w:val="hu-HU"/>
        </w:rPr>
        <w:t>(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z</w:t>
      </w:r>
      <w:r w:rsidR="009D2470" w:rsidRPr="00D26E33">
        <w:rPr>
          <w:rFonts w:ascii="Times New Roman" w:hAnsi="Times New Roman"/>
          <w:spacing w:val="-4"/>
          <w:sz w:val="20"/>
          <w:szCs w:val="20"/>
          <w:lang w:val="hu-HU"/>
        </w:rPr>
        <w:t>uk) az irányítással megbízott személyek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nek</w:t>
      </w:r>
      <w:r w:rsidR="009D2470"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</w:t>
      </w:r>
      <w:r w:rsidR="009D2470"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="009D2470"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könyvvizsgálatom(unk) során általam(unk) azonosított jelentős hiányosság</w:t>
      </w:r>
      <w:r w:rsidR="009D2470"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="009D2470" w:rsidRPr="00D26E33">
        <w:rPr>
          <w:rFonts w:ascii="Times New Roman" w:hAnsi="Times New Roman"/>
          <w:spacing w:val="-4"/>
          <w:sz w:val="20"/>
          <w:szCs w:val="20"/>
          <w:lang w:val="hu-HU"/>
        </w:rPr>
        <w:t>t is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, ha voltak ilyenek</w:t>
      </w:r>
      <w:r w:rsidR="009D2470"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. </w:t>
      </w:r>
    </w:p>
    <w:p w:rsidR="00487ABB" w:rsidRDefault="00487ABB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spacing w:val="-4"/>
          <w:lang w:val="hu-HU"/>
        </w:rPr>
      </w:pPr>
    </w:p>
    <w:p w:rsidR="009D2470" w:rsidRPr="00276D44" w:rsidRDefault="00487ABB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i/>
          <w:spacing w:val="-4"/>
          <w:lang w:val="hu-HU"/>
        </w:rPr>
      </w:pPr>
      <w:r w:rsidRPr="00276D44">
        <w:rPr>
          <w:b/>
          <w:i/>
          <w:spacing w:val="-4"/>
          <w:lang w:val="hu-HU"/>
        </w:rPr>
        <w:t>(A jelen melléklet a(z) ABC társaság 201X. évi éves beszámolójáról kiadott független könyvvizsgálói jelentés elválaszthatatlan részét képezi.]</w:t>
      </w:r>
    </w:p>
    <w:p w:rsidR="008F4ADF" w:rsidRPr="009D2470" w:rsidRDefault="008F4ADF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sectPr w:rsidR="008F4ADF" w:rsidRPr="009D2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1" w:rsidRDefault="001E2511" w:rsidP="001E2511">
      <w:pPr>
        <w:spacing w:after="0" w:line="240" w:lineRule="auto"/>
      </w:pPr>
      <w:r>
        <w:separator/>
      </w:r>
    </w:p>
  </w:endnote>
  <w:endnote w:type="continuationSeparator" w:id="0">
    <w:p w:rsidR="001E2511" w:rsidRDefault="001E2511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151889"/>
      <w:docPartObj>
        <w:docPartGallery w:val="Page Numbers (Bottom of Page)"/>
        <w:docPartUnique/>
      </w:docPartObj>
    </w:sdtPr>
    <w:sdtEndPr/>
    <w:sdtContent>
      <w:p w:rsidR="001E2511" w:rsidRDefault="001E25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55" w:rsidRPr="00450B55">
          <w:rPr>
            <w:noProof/>
            <w:lang w:val="hu-HU"/>
          </w:rPr>
          <w:t>1</w:t>
        </w:r>
        <w:r>
          <w:fldChar w:fldCharType="end"/>
        </w:r>
      </w:p>
    </w:sdtContent>
  </w:sdt>
  <w:p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1" w:rsidRDefault="001E2511" w:rsidP="001E2511">
      <w:pPr>
        <w:spacing w:after="0" w:line="240" w:lineRule="auto"/>
      </w:pPr>
      <w:r>
        <w:separator/>
      </w:r>
    </w:p>
  </w:footnote>
  <w:footnote w:type="continuationSeparator" w:id="0">
    <w:p w:rsidR="001E2511" w:rsidRDefault="001E2511" w:rsidP="001E2511">
      <w:pPr>
        <w:spacing w:after="0" w:line="240" w:lineRule="auto"/>
      </w:pPr>
      <w:r>
        <w:continuationSeparator/>
      </w:r>
    </w:p>
  </w:footnote>
  <w:footnote w:id="1">
    <w:p w:rsidR="009825E5" w:rsidRPr="00276D44" w:rsidRDefault="009825E5" w:rsidP="00276D44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>Abban az esetben, ha a könyvvizsgáló megítélése szerint, az üzleti jelentés</w:t>
      </w:r>
      <w:r w:rsidR="00E06CF1"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 xml:space="preserve"> az éves beszámolóval, valamint a számviteli törvénnyel (vagy ha az releváns, egyéb más jogszabállyal) való összhangjától függetlenül,</w:t>
      </w:r>
      <w:r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 xml:space="preserve"> egyéb tekintetben </w:t>
      </w:r>
      <w:r w:rsidR="00E06CF1"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 xml:space="preserve">(pl. önmagán belüli ellentmondás okán) </w:t>
      </w:r>
      <w:r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>lényegesnek ítélhető hibás közlést (hibás állítást) tartalmaz</w:t>
      </w:r>
      <w:r w:rsidR="00E06CF1"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>, akkor ezt a mondatot értelemszerűen ennek megfelelően szükséges átfogalmazni, és le</w:t>
      </w:r>
      <w:r w:rsidR="00F06593"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 xml:space="preserve"> kell </w:t>
      </w:r>
      <w:r w:rsidR="00E06CF1"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>írni a szóban forgó lényeges hibás közlés (hibás állítás) mibenlétét.</w:t>
      </w:r>
    </w:p>
  </w:footnote>
  <w:footnote w:id="2">
    <w:p w:rsidR="00780171" w:rsidRPr="00276D44" w:rsidRDefault="00780171" w:rsidP="00276D44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76D44">
        <w:rPr>
          <w:rFonts w:ascii="Times New Roman" w:hAnsi="Times New Roman"/>
          <w:kern w:val="8"/>
          <w:sz w:val="16"/>
          <w:szCs w:val="16"/>
          <w:lang w:val="hu-HU" w:bidi="he-IL"/>
        </w:rPr>
        <w:t>Lásd az 1. számú lábjegyzetet!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477F3"/>
    <w:rsid w:val="000B2BF8"/>
    <w:rsid w:val="000C53E8"/>
    <w:rsid w:val="000E18F2"/>
    <w:rsid w:val="000F7DB6"/>
    <w:rsid w:val="0012784A"/>
    <w:rsid w:val="001C19F3"/>
    <w:rsid w:val="001E2511"/>
    <w:rsid w:val="0027581F"/>
    <w:rsid w:val="00276D44"/>
    <w:rsid w:val="002F0D7F"/>
    <w:rsid w:val="00347176"/>
    <w:rsid w:val="003577B5"/>
    <w:rsid w:val="00414BBB"/>
    <w:rsid w:val="004445AE"/>
    <w:rsid w:val="00450B55"/>
    <w:rsid w:val="00452CD9"/>
    <w:rsid w:val="00487ABB"/>
    <w:rsid w:val="004A4B47"/>
    <w:rsid w:val="005300E7"/>
    <w:rsid w:val="00546D50"/>
    <w:rsid w:val="00564D07"/>
    <w:rsid w:val="00591783"/>
    <w:rsid w:val="00632012"/>
    <w:rsid w:val="006541E7"/>
    <w:rsid w:val="00710685"/>
    <w:rsid w:val="00743D82"/>
    <w:rsid w:val="00762DC1"/>
    <w:rsid w:val="00780171"/>
    <w:rsid w:val="007D7B6D"/>
    <w:rsid w:val="00810608"/>
    <w:rsid w:val="00891C49"/>
    <w:rsid w:val="008D71BF"/>
    <w:rsid w:val="008F4ADF"/>
    <w:rsid w:val="00901813"/>
    <w:rsid w:val="00903E3D"/>
    <w:rsid w:val="009414CE"/>
    <w:rsid w:val="009463C8"/>
    <w:rsid w:val="0096259E"/>
    <w:rsid w:val="009760DE"/>
    <w:rsid w:val="009825E5"/>
    <w:rsid w:val="009A7A13"/>
    <w:rsid w:val="009C53AD"/>
    <w:rsid w:val="009D2470"/>
    <w:rsid w:val="00A34EB6"/>
    <w:rsid w:val="00A46E1F"/>
    <w:rsid w:val="00AB0BFB"/>
    <w:rsid w:val="00B513E0"/>
    <w:rsid w:val="00B662F3"/>
    <w:rsid w:val="00BD4057"/>
    <w:rsid w:val="00C11015"/>
    <w:rsid w:val="00C21C70"/>
    <w:rsid w:val="00C34F1F"/>
    <w:rsid w:val="00C94D23"/>
    <w:rsid w:val="00D206D7"/>
    <w:rsid w:val="00D5025C"/>
    <w:rsid w:val="00D92DD4"/>
    <w:rsid w:val="00DB7B78"/>
    <w:rsid w:val="00DC60C5"/>
    <w:rsid w:val="00E06CF1"/>
    <w:rsid w:val="00E23890"/>
    <w:rsid w:val="00E43303"/>
    <w:rsid w:val="00E645DA"/>
    <w:rsid w:val="00EC4D43"/>
    <w:rsid w:val="00F06593"/>
    <w:rsid w:val="00F1464D"/>
    <w:rsid w:val="00FA1D94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8DE7-AA2C-4288-AE41-4E189064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2</cp:revision>
  <dcterms:created xsi:type="dcterms:W3CDTF">2017-06-08T13:45:00Z</dcterms:created>
  <dcterms:modified xsi:type="dcterms:W3CDTF">2017-06-08T13:45:00Z</dcterms:modified>
</cp:coreProperties>
</file>