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DB" w:rsidRPr="00DF2DCC" w:rsidRDefault="00040ADB" w:rsidP="00040ADB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</w:p>
    <w:p w:rsidR="00040ADB" w:rsidRPr="00DF2DCC" w:rsidRDefault="00040ADB" w:rsidP="00040ADB">
      <w:pPr>
        <w:jc w:val="center"/>
        <w:rPr>
          <w:b/>
          <w:bCs/>
          <w:sz w:val="22"/>
          <w:szCs w:val="22"/>
          <w:lang w:val="cs-CZ"/>
        </w:rPr>
      </w:pPr>
    </w:p>
    <w:p w:rsidR="00040ADB" w:rsidRPr="00DF2DCC" w:rsidRDefault="00040ADB" w:rsidP="00040ADB">
      <w:pPr>
        <w:jc w:val="center"/>
        <w:rPr>
          <w:b/>
          <w:bCs/>
          <w:sz w:val="22"/>
          <w:szCs w:val="22"/>
        </w:rPr>
      </w:pPr>
      <w:r w:rsidRPr="00236CB8">
        <w:rPr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pt;margin-top:1.9pt;width:395.05pt;height:71.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">
            <v:textbox>
              <w:txbxContent>
                <w:p w:rsidR="00040ADB" w:rsidRDefault="00040ADB" w:rsidP="00040A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</w:p>
                <w:p w:rsidR="00040ADB" w:rsidRDefault="00040ADB" w:rsidP="00040A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B950C5">
                    <w:rPr>
                      <w:b/>
                      <w:bCs/>
                      <w:sz w:val="40"/>
                      <w:szCs w:val="40"/>
                    </w:rPr>
                    <w:t xml:space="preserve">Okleveles </w:t>
                  </w:r>
                  <w:r w:rsidRPr="00B950C5">
                    <w:rPr>
                      <w:b/>
                      <w:bCs/>
                      <w:sz w:val="40"/>
                      <w:szCs w:val="40"/>
                      <w:lang w:val="cs-CZ"/>
                    </w:rPr>
                    <w:t>Könyvvizsgálói</w:t>
                  </w:r>
                  <w:r w:rsidRPr="00B950C5">
                    <w:rPr>
                      <w:b/>
                      <w:bCs/>
                      <w:sz w:val="40"/>
                      <w:szCs w:val="40"/>
                    </w:rPr>
                    <w:t xml:space="preserve"> Képzés</w:t>
                  </w:r>
                </w:p>
                <w:p w:rsidR="00040ADB" w:rsidRPr="008241BC" w:rsidRDefault="00040ADB" w:rsidP="00040A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  <w:lang w:val="cs-CZ"/>
                    </w:rPr>
                  </w:pPr>
                </w:p>
              </w:txbxContent>
            </v:textbox>
          </v:shape>
        </w:pict>
      </w:r>
    </w:p>
    <w:p w:rsidR="00040ADB" w:rsidRPr="00DF2DCC" w:rsidRDefault="00040ADB" w:rsidP="00040ADB">
      <w:pPr>
        <w:jc w:val="center"/>
        <w:rPr>
          <w:b/>
          <w:bCs/>
          <w:sz w:val="22"/>
          <w:szCs w:val="22"/>
          <w:lang w:val="cs-CZ"/>
        </w:rPr>
      </w:pPr>
      <w:r w:rsidRPr="00236CB8">
        <w:rPr>
          <w:noProof/>
          <w:sz w:val="22"/>
          <w:szCs w:val="22"/>
          <w:lang w:val="en-US"/>
        </w:rPr>
        <w:pict>
          <v:shape id="Text Box 5" o:spid="_x0000_s1029" type="#_x0000_t202" style="position:absolute;left:0;text-align:left;margin-left:-29.8pt;margin-top:591.45pt;width:150.95pt;height:114.8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" filled="f" stroked="f">
            <v:textbox inset=",7.2pt,,7.2pt">
              <w:txbxContent>
                <w:p w:rsidR="00040ADB" w:rsidRPr="00602843" w:rsidRDefault="00040ADB" w:rsidP="00040AD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1676400" cy="12001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36CB8">
        <w:rPr>
          <w:noProof/>
          <w:sz w:val="22"/>
          <w:szCs w:val="22"/>
          <w:lang w:val="en-US"/>
        </w:rPr>
        <w:pict>
          <v:shape id="Text Box 3" o:spid="_x0000_s1027" type="#_x0000_t202" style="position:absolute;left:0;text-align:left;margin-left:4.05pt;margin-top:69.45pt;width:396pt;height:189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">
            <v:textbox>
              <w:txbxContent>
                <w:p w:rsidR="00040ADB" w:rsidRPr="00B950C5" w:rsidRDefault="00040ADB" w:rsidP="00040A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60"/>
                      <w:szCs w:val="60"/>
                      <w:lang w:val="cs-CZ"/>
                    </w:rPr>
                  </w:pPr>
                </w:p>
                <w:p w:rsidR="00040ADB" w:rsidRPr="00B950C5" w:rsidRDefault="00040ADB" w:rsidP="00040ADB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B950C5">
                    <w:rPr>
                      <w:b/>
                      <w:bCs/>
                      <w:sz w:val="44"/>
                      <w:szCs w:val="44"/>
                    </w:rPr>
                    <w:t xml:space="preserve">A számvitel nemzetközi </w:t>
                  </w:r>
                  <w:r w:rsidRPr="00B950C5">
                    <w:rPr>
                      <w:b/>
                      <w:bCs/>
                      <w:sz w:val="44"/>
                      <w:szCs w:val="44"/>
                      <w:lang w:val="cs-CZ"/>
                    </w:rPr>
                    <w:t>szabályozása</w:t>
                  </w:r>
                </w:p>
                <w:p w:rsidR="00040ADB" w:rsidRPr="00B950C5" w:rsidRDefault="00040ADB" w:rsidP="00040ADB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040ADB" w:rsidRPr="00B950C5" w:rsidRDefault="00040ADB" w:rsidP="00040ADB">
                  <w:pPr>
                    <w:jc w:val="center"/>
                    <w:rPr>
                      <w:sz w:val="44"/>
                      <w:szCs w:val="44"/>
                    </w:rPr>
                  </w:pPr>
                  <w:r w:rsidRPr="00B950C5">
                    <w:rPr>
                      <w:sz w:val="44"/>
                      <w:szCs w:val="44"/>
                    </w:rPr>
                    <w:t>201</w:t>
                  </w:r>
                  <w:r>
                    <w:rPr>
                      <w:sz w:val="44"/>
                      <w:szCs w:val="44"/>
                    </w:rPr>
                    <w:t>3</w:t>
                  </w:r>
                  <w:r w:rsidRPr="00B950C5">
                    <w:rPr>
                      <w:sz w:val="44"/>
                      <w:szCs w:val="44"/>
                    </w:rPr>
                    <w:t xml:space="preserve">. </w:t>
                  </w:r>
                  <w:r>
                    <w:rPr>
                      <w:sz w:val="44"/>
                      <w:szCs w:val="44"/>
                    </w:rPr>
                    <w:t>február 21.</w:t>
                  </w:r>
                </w:p>
                <w:p w:rsidR="00040ADB" w:rsidRDefault="00040ADB" w:rsidP="00040ADB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Írásbeli vizsgasor</w:t>
                  </w:r>
                </w:p>
                <w:p w:rsidR="00040ADB" w:rsidRPr="0021796E" w:rsidRDefault="00040ADB" w:rsidP="00040ADB">
                  <w:pPr>
                    <w:jc w:val="center"/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21796E">
                    <w:rPr>
                      <w:b/>
                      <w:bCs/>
                      <w:color w:val="FFFFFF" w:themeColor="background1"/>
                      <w:sz w:val="44"/>
                      <w:szCs w:val="44"/>
                      <w:highlight w:val="black"/>
                    </w:rPr>
                    <w:t>A verzió</w:t>
                  </w:r>
                </w:p>
              </w:txbxContent>
            </v:textbox>
          </v:shape>
        </w:pict>
      </w:r>
      <w:r w:rsidRPr="00236CB8">
        <w:rPr>
          <w:noProof/>
          <w:sz w:val="22"/>
          <w:szCs w:val="22"/>
          <w:lang w:val="en-US"/>
        </w:rPr>
        <w:pict>
          <v:shape id="Text Box 4" o:spid="_x0000_s1028" type="#_x0000_t202" style="position:absolute;left:0;text-align:left;margin-left:4.05pt;margin-top:267.45pt;width:396pt;height:32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">
            <v:textbox>
              <w:txbxContent>
                <w:p w:rsidR="00040ADB" w:rsidRPr="00B950C5" w:rsidRDefault="00040ADB" w:rsidP="00040ADB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950C5">
                    <w:rPr>
                      <w:b/>
                      <w:bCs/>
                      <w:sz w:val="22"/>
                      <w:szCs w:val="22"/>
                    </w:rPr>
                    <w:t>Rendelkezésre álló idő:</w:t>
                  </w:r>
                  <w:r w:rsidRPr="00B950C5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B950C5">
                    <w:rPr>
                      <w:b/>
                      <w:bCs/>
                      <w:sz w:val="22"/>
                      <w:szCs w:val="22"/>
                    </w:rPr>
                    <w:tab/>
                    <w:t>120 perc</w:t>
                  </w:r>
                </w:p>
                <w:p w:rsidR="00040ADB" w:rsidRPr="00B950C5" w:rsidRDefault="00040ADB" w:rsidP="00040ADB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950C5">
                    <w:rPr>
                      <w:b/>
                      <w:bCs/>
                      <w:sz w:val="22"/>
                      <w:szCs w:val="22"/>
                    </w:rPr>
                    <w:t>Elégségeshez szükséges:</w:t>
                  </w:r>
                  <w:r w:rsidRPr="00B950C5">
                    <w:rPr>
                      <w:b/>
                      <w:bCs/>
                      <w:sz w:val="22"/>
                      <w:szCs w:val="22"/>
                    </w:rPr>
                    <w:tab/>
                    <w:t>60%</w:t>
                  </w:r>
                </w:p>
                <w:p w:rsidR="00040ADB" w:rsidRPr="00B950C5" w:rsidRDefault="00040ADB" w:rsidP="00040ADB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0ADB" w:rsidRPr="001A2C8B" w:rsidRDefault="00040ADB" w:rsidP="00040ADB">
                  <w:pPr>
                    <w:jc w:val="both"/>
                    <w:rPr>
                      <w:sz w:val="22"/>
                      <w:szCs w:val="22"/>
                    </w:rPr>
                  </w:pPr>
                  <w:r w:rsidRPr="001A2C8B">
                    <w:rPr>
                      <w:sz w:val="22"/>
                      <w:szCs w:val="22"/>
                    </w:rPr>
                    <w:t>Kérjük, ne nyissa ki a lapot, amíg a teremfelügyelők ezt nem kérik!</w:t>
                  </w:r>
                </w:p>
                <w:p w:rsidR="00040ADB" w:rsidRPr="001A2C8B" w:rsidRDefault="00040ADB" w:rsidP="00040ADB">
                  <w:pPr>
                    <w:jc w:val="both"/>
                    <w:rPr>
                      <w:sz w:val="22"/>
                      <w:szCs w:val="22"/>
                    </w:rPr>
                  </w:pPr>
                  <w:r w:rsidRPr="001A2C8B">
                    <w:rPr>
                      <w:sz w:val="22"/>
                      <w:szCs w:val="22"/>
                    </w:rPr>
                    <w:t xml:space="preserve">Tintával </w:t>
                  </w:r>
                  <w:proofErr w:type="gramStart"/>
                  <w:r w:rsidRPr="001A2C8B">
                    <w:rPr>
                      <w:sz w:val="22"/>
                      <w:szCs w:val="22"/>
                    </w:rPr>
                    <w:t>dolgozzon</w:t>
                  </w:r>
                  <w:proofErr w:type="gramEnd"/>
                  <w:r w:rsidRPr="001A2C8B">
                    <w:rPr>
                      <w:sz w:val="22"/>
                      <w:szCs w:val="22"/>
                    </w:rPr>
                    <w:t xml:space="preserve"> és minden mellékszámítást mutasson be! Kérjük, csak olyan számológépet használjon, amely szöveg tárolására nem alkalmas.</w:t>
                  </w:r>
                </w:p>
                <w:p w:rsidR="00040ADB" w:rsidRPr="001A2C8B" w:rsidRDefault="00040ADB" w:rsidP="00040ADB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0ADB" w:rsidRPr="001A2C8B" w:rsidRDefault="00040ADB" w:rsidP="00040ADB">
                  <w:pPr>
                    <w:jc w:val="both"/>
                    <w:rPr>
                      <w:sz w:val="22"/>
                      <w:szCs w:val="22"/>
                    </w:rPr>
                  </w:pPr>
                  <w:r w:rsidRPr="001A2C8B">
                    <w:rPr>
                      <w:sz w:val="22"/>
                      <w:szCs w:val="22"/>
                    </w:rPr>
                    <w:t xml:space="preserve">A megoldás során azokat az </w:t>
                  </w:r>
                  <w:proofErr w:type="spellStart"/>
                  <w:r w:rsidRPr="001A2C8B">
                    <w:rPr>
                      <w:sz w:val="22"/>
                      <w:szCs w:val="22"/>
                    </w:rPr>
                    <w:t>IFRS-eket</w:t>
                  </w:r>
                  <w:proofErr w:type="spellEnd"/>
                  <w:r w:rsidRPr="001A2C8B">
                    <w:rPr>
                      <w:sz w:val="22"/>
                      <w:szCs w:val="22"/>
                    </w:rPr>
                    <w:t xml:space="preserve"> kell használnia, amelyek 2010. január 1-jén már hatályosak voltak. </w:t>
                  </w:r>
                </w:p>
                <w:p w:rsidR="00040ADB" w:rsidRPr="001A2C8B" w:rsidRDefault="00040ADB" w:rsidP="00040ADB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0ADB" w:rsidRPr="001A2C8B" w:rsidRDefault="00040ADB" w:rsidP="00040ADB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A2C8B">
                    <w:rPr>
                      <w:b/>
                      <w:bCs/>
                      <w:sz w:val="22"/>
                      <w:szCs w:val="22"/>
                    </w:rPr>
                    <w:t>A dolgozat két részre osztható:</w:t>
                  </w:r>
                </w:p>
                <w:p w:rsidR="00040ADB" w:rsidRPr="001A2C8B" w:rsidRDefault="00040ADB" w:rsidP="00040ADB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A2C8B">
                    <w:rPr>
                      <w:b/>
                      <w:bCs/>
                      <w:sz w:val="22"/>
                      <w:szCs w:val="22"/>
                    </w:rPr>
                    <w:t>A rész – EGY 50 pontos kérdés, amelyet meg KELL oldani;</w:t>
                  </w:r>
                </w:p>
                <w:p w:rsidR="00040ADB" w:rsidRPr="001A2C8B" w:rsidRDefault="00040ADB" w:rsidP="00040ADB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1A2C8B">
                    <w:rPr>
                      <w:b/>
                      <w:bCs/>
                      <w:sz w:val="22"/>
                      <w:szCs w:val="22"/>
                    </w:rPr>
                    <w:t>B rész – HÁROM 25 pontos kérdés, amelyből CSAK KETTŐT kell megoldani.</w:t>
                  </w:r>
                </w:p>
                <w:p w:rsidR="00040ADB" w:rsidRPr="001A2C8B" w:rsidRDefault="00040ADB" w:rsidP="00040ADB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0ADB" w:rsidRPr="001A2C8B" w:rsidRDefault="00040ADB" w:rsidP="00040ADB">
                  <w:pPr>
                    <w:jc w:val="both"/>
                    <w:rPr>
                      <w:sz w:val="22"/>
                      <w:szCs w:val="22"/>
                    </w:rPr>
                  </w:pPr>
                  <w:r w:rsidRPr="001A2C8B">
                    <w:rPr>
                      <w:sz w:val="22"/>
                      <w:szCs w:val="22"/>
                    </w:rPr>
                    <w:t xml:space="preserve">Javasoljuk, hogy a vizsga elején szánjon 5-10 percet a feladatok megismerésére, csak ezután kezdjen hozzá a kidolgozáshoz. A dolgozat 110 perc alatt megoldható. </w:t>
                  </w:r>
                </w:p>
                <w:p w:rsidR="00040ADB" w:rsidRPr="001A2C8B" w:rsidRDefault="00040ADB" w:rsidP="00040ADB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0ADB" w:rsidRPr="001A2C8B" w:rsidRDefault="00040ADB" w:rsidP="00040ADB">
                  <w:pPr>
                    <w:jc w:val="both"/>
                    <w:rPr>
                      <w:sz w:val="22"/>
                      <w:szCs w:val="22"/>
                    </w:rPr>
                  </w:pPr>
                  <w:r w:rsidRPr="001A2C8B">
                    <w:rPr>
                      <w:sz w:val="22"/>
                      <w:szCs w:val="22"/>
                    </w:rPr>
                    <w:t>A dolgozatot a teremből kivinni nem szabad.</w:t>
                  </w:r>
                </w:p>
                <w:p w:rsidR="00040ADB" w:rsidRPr="00432561" w:rsidRDefault="00040ADB" w:rsidP="00040ADB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40ADB" w:rsidRPr="00B950C5" w:rsidRDefault="00040ADB" w:rsidP="00040ADB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0ADB" w:rsidRPr="00B950C5" w:rsidRDefault="00040ADB" w:rsidP="00040ADB">
                  <w:pPr>
                    <w:jc w:val="center"/>
                    <w:rPr>
                      <w:sz w:val="22"/>
                      <w:szCs w:val="22"/>
                    </w:rPr>
                  </w:pPr>
                  <w:r w:rsidRPr="00B950C5">
                    <w:rPr>
                      <w:sz w:val="22"/>
                      <w:szCs w:val="22"/>
                    </w:rPr>
                    <w:t>Sok sikert!</w:t>
                  </w:r>
                </w:p>
              </w:txbxContent>
            </v:textbox>
          </v:shape>
        </w:pict>
      </w:r>
      <w:r w:rsidRPr="00DF2DCC">
        <w:rPr>
          <w:b/>
          <w:bCs/>
          <w:sz w:val="22"/>
          <w:szCs w:val="22"/>
        </w:rPr>
        <w:br w:type="page"/>
      </w:r>
    </w:p>
    <w:p w:rsidR="00040ADB" w:rsidRPr="00DF2DCC" w:rsidRDefault="00040ADB" w:rsidP="00040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DF2DCC">
        <w:rPr>
          <w:b/>
          <w:bCs/>
          <w:sz w:val="22"/>
          <w:szCs w:val="22"/>
          <w:lang w:val="cs-CZ"/>
        </w:rPr>
        <w:lastRenderedPageBreak/>
        <w:t>A</w:t>
      </w:r>
      <w:r w:rsidRPr="00DF2DCC">
        <w:rPr>
          <w:b/>
          <w:bCs/>
          <w:sz w:val="22"/>
          <w:szCs w:val="22"/>
        </w:rPr>
        <w:t xml:space="preserve"> rész: Ezt a feladatot meg KELL oldani.</w:t>
      </w:r>
    </w:p>
    <w:p w:rsidR="00040ADB" w:rsidRPr="00DF2DCC" w:rsidRDefault="00040ADB" w:rsidP="00040ADB">
      <w:pPr>
        <w:rPr>
          <w:b/>
          <w:bCs/>
          <w:sz w:val="22"/>
          <w:szCs w:val="22"/>
        </w:rPr>
      </w:pPr>
    </w:p>
    <w:p w:rsidR="00040ADB" w:rsidRPr="00DF2DCC" w:rsidRDefault="00040ADB" w:rsidP="00040ADB">
      <w:pPr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VOX</w:t>
      </w:r>
      <w:r w:rsidRPr="00DF2DCC">
        <w:rPr>
          <w:b/>
          <w:bCs/>
          <w:sz w:val="22"/>
          <w:szCs w:val="22"/>
        </w:rPr>
        <w:t xml:space="preserve"> Csoport</w:t>
      </w:r>
    </w:p>
    <w:p w:rsidR="00040ADB" w:rsidRPr="00DF2DCC" w:rsidRDefault="00040ADB" w:rsidP="00040ADB">
      <w:pPr>
        <w:contextualSpacing/>
        <w:rPr>
          <w:sz w:val="22"/>
          <w:szCs w:val="22"/>
        </w:rPr>
      </w:pPr>
    </w:p>
    <w:p w:rsidR="00040ADB" w:rsidRDefault="00040ADB" w:rsidP="00040ADB">
      <w:pPr>
        <w:contextualSpacing/>
        <w:jc w:val="both"/>
        <w:rPr>
          <w:sz w:val="22"/>
          <w:szCs w:val="22"/>
        </w:rPr>
      </w:pPr>
      <w:r w:rsidRPr="00DF2DCC">
        <w:rPr>
          <w:sz w:val="22"/>
          <w:szCs w:val="22"/>
        </w:rPr>
        <w:t xml:space="preserve">A </w:t>
      </w:r>
      <w:r>
        <w:rPr>
          <w:sz w:val="22"/>
          <w:szCs w:val="22"/>
        </w:rPr>
        <w:t>VOX</w:t>
      </w:r>
      <w:r w:rsidRPr="00DF2DCC">
        <w:rPr>
          <w:sz w:val="22"/>
          <w:szCs w:val="22"/>
        </w:rPr>
        <w:t xml:space="preserve"> Csoport a 201</w:t>
      </w:r>
      <w:r>
        <w:rPr>
          <w:sz w:val="22"/>
          <w:szCs w:val="22"/>
        </w:rPr>
        <w:t>2</w:t>
      </w:r>
      <w:r w:rsidRPr="00DF2DCC">
        <w:rPr>
          <w:sz w:val="22"/>
          <w:szCs w:val="22"/>
        </w:rPr>
        <w:t xml:space="preserve">. december 31-ére vonatkozó konszolidált pénzügyi kimutatásait készíti. </w:t>
      </w:r>
      <w:r>
        <w:rPr>
          <w:sz w:val="22"/>
          <w:szCs w:val="22"/>
        </w:rPr>
        <w:t>VOX</w:t>
      </w:r>
      <w:r w:rsidRPr="00DF2DCC">
        <w:rPr>
          <w:sz w:val="22"/>
          <w:szCs w:val="22"/>
        </w:rPr>
        <w:t xml:space="preserve"> eddig nem rendelkezett befektetésekkel más vállalkozásokban, de idén két </w:t>
      </w:r>
      <w:r>
        <w:rPr>
          <w:sz w:val="22"/>
          <w:szCs w:val="22"/>
        </w:rPr>
        <w:t>részesedést</w:t>
      </w:r>
      <w:r w:rsidRPr="00DF2DCC">
        <w:rPr>
          <w:sz w:val="22"/>
          <w:szCs w:val="22"/>
        </w:rPr>
        <w:t xml:space="preserve"> is megvásárolt – </w:t>
      </w:r>
      <w:r>
        <w:rPr>
          <w:sz w:val="22"/>
          <w:szCs w:val="22"/>
        </w:rPr>
        <w:t>nevük: FOXY és NOXA</w:t>
      </w:r>
      <w:r w:rsidRPr="00DF2DCC">
        <w:rPr>
          <w:sz w:val="22"/>
          <w:szCs w:val="22"/>
        </w:rPr>
        <w:t>.  A Csoport tagjainak összevont egyedi mérlegei a következők 201</w:t>
      </w:r>
      <w:r>
        <w:rPr>
          <w:sz w:val="22"/>
          <w:szCs w:val="22"/>
        </w:rPr>
        <w:t>2</w:t>
      </w:r>
      <w:r w:rsidRPr="00DF2DCC">
        <w:rPr>
          <w:sz w:val="22"/>
          <w:szCs w:val="22"/>
        </w:rPr>
        <w:t>. december 31-én:</w:t>
      </w:r>
    </w:p>
    <w:p w:rsidR="00040ADB" w:rsidRPr="00DF2DCC" w:rsidRDefault="00040ADB" w:rsidP="00040ADB">
      <w:pPr>
        <w:contextualSpacing/>
        <w:jc w:val="both"/>
        <w:rPr>
          <w:sz w:val="22"/>
          <w:szCs w:val="22"/>
        </w:rPr>
      </w:pPr>
    </w:p>
    <w:tbl>
      <w:tblPr>
        <w:tblW w:w="9372" w:type="dxa"/>
        <w:jc w:val="center"/>
        <w:tblLayout w:type="fixed"/>
        <w:tblLook w:val="00A0"/>
      </w:tblPr>
      <w:tblGrid>
        <w:gridCol w:w="4478"/>
        <w:gridCol w:w="993"/>
        <w:gridCol w:w="1260"/>
        <w:gridCol w:w="1235"/>
        <w:gridCol w:w="1406"/>
      </w:tblGrid>
      <w:tr w:rsidR="00040ADB" w:rsidRPr="00194272" w:rsidTr="00A2793A">
        <w:trPr>
          <w:jc w:val="center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0ADB" w:rsidRPr="00194272" w:rsidRDefault="00040ADB" w:rsidP="00A2793A">
            <w:pPr>
              <w:ind w:left="720"/>
              <w:jc w:val="center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Adatok </w:t>
            </w:r>
            <w:proofErr w:type="spellStart"/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eFt-ban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40ADB" w:rsidRPr="00194272" w:rsidRDefault="00040ADB" w:rsidP="00A279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VOX</w:t>
            </w:r>
          </w:p>
          <w:p w:rsidR="00040ADB" w:rsidRPr="00194272" w:rsidRDefault="00040ADB" w:rsidP="00A279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(előzetes)</w:t>
            </w:r>
          </w:p>
          <w:p w:rsidR="00040ADB" w:rsidRPr="00194272" w:rsidRDefault="00040ADB" w:rsidP="00A279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2012.12.31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:rsidR="00040ADB" w:rsidRPr="00194272" w:rsidRDefault="00040ADB" w:rsidP="00A2793A">
            <w:pPr>
              <w:ind w:left="-25"/>
              <w:jc w:val="center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FOXY</w:t>
            </w:r>
          </w:p>
          <w:p w:rsidR="00040ADB" w:rsidRPr="00194272" w:rsidRDefault="00040ADB" w:rsidP="00A2793A">
            <w:pPr>
              <w:ind w:left="-25"/>
              <w:jc w:val="center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(végleges)</w:t>
            </w:r>
          </w:p>
          <w:p w:rsidR="00040ADB" w:rsidRPr="00194272" w:rsidRDefault="00040ADB" w:rsidP="00A2793A">
            <w:pPr>
              <w:ind w:left="-25"/>
              <w:jc w:val="center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2012.12.31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040ADB" w:rsidRPr="00194272" w:rsidRDefault="00040ADB" w:rsidP="00A279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NOXA</w:t>
            </w:r>
          </w:p>
          <w:p w:rsidR="00040ADB" w:rsidRPr="00194272" w:rsidRDefault="00040ADB" w:rsidP="00A279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(végleges)</w:t>
            </w:r>
          </w:p>
          <w:p w:rsidR="00040ADB" w:rsidRPr="00194272" w:rsidRDefault="00040ADB" w:rsidP="00A279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2012.12.31.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  <w:tcBorders>
              <w:top w:val="single" w:sz="4" w:space="0" w:color="auto"/>
            </w:tcBorders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194272">
              <w:rPr>
                <w:rFonts w:asciiTheme="minorHAnsi" w:hAnsiTheme="minorHAnsi"/>
                <w:i/>
                <w:iCs/>
                <w:sz w:val="22"/>
                <w:szCs w:val="22"/>
              </w:rPr>
              <w:t>Befektetett eszközök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i/>
                <w:iCs/>
              </w:rPr>
            </w:pP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Ingatlanok, gépek és berendezések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129 000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92 000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180 000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Befektetési célú ingatlan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100 000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Pénzügyi instrumentumok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16 000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 xml:space="preserve">Részesedés </w:t>
            </w:r>
            <w:proofErr w:type="spellStart"/>
            <w:r w:rsidRPr="00194272">
              <w:rPr>
                <w:rFonts w:asciiTheme="minorHAnsi" w:hAnsiTheme="minorHAnsi"/>
                <w:sz w:val="22"/>
                <w:szCs w:val="22"/>
              </w:rPr>
              <w:t>FOXY-ban</w:t>
            </w:r>
            <w:proofErr w:type="spellEnd"/>
            <w:r w:rsidRPr="001942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(1)</w:t>
            </w: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50 000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 xml:space="preserve">Részesedés </w:t>
            </w:r>
            <w:proofErr w:type="spellStart"/>
            <w:r w:rsidRPr="00194272">
              <w:rPr>
                <w:rFonts w:asciiTheme="minorHAnsi" w:hAnsiTheme="minorHAnsi"/>
                <w:sz w:val="22"/>
                <w:szCs w:val="22"/>
              </w:rPr>
              <w:t>NOXA-ban</w:t>
            </w:r>
            <w:proofErr w:type="spellEnd"/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(1)</w:t>
            </w: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45 000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ind w:left="7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194272">
              <w:rPr>
                <w:rFonts w:asciiTheme="minorHAnsi" w:hAnsiTheme="minorHAnsi"/>
                <w:i/>
                <w:iCs/>
                <w:sz w:val="22"/>
                <w:szCs w:val="22"/>
              </w:rPr>
              <w:t>Forgóeszközök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i/>
                <w:iCs/>
              </w:rPr>
            </w:pP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Készletek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(4)</w:t>
            </w: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50 000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60 000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80 000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Vevőkövetelések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(4)</w:t>
            </w: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50 000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60 000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Adott kölcsön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(4)</w:t>
            </w: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20 000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Pénzeszközök és egyenértékeseik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40 000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88 000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20 000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ESZKÖZÖK ÖSSZESEN: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500 000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300 000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400 000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ind w:left="7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194272">
              <w:rPr>
                <w:rFonts w:asciiTheme="minorHAnsi" w:hAnsiTheme="minorHAnsi"/>
                <w:i/>
                <w:iCs/>
                <w:sz w:val="22"/>
                <w:szCs w:val="22"/>
              </w:rPr>
              <w:t>Saját tőke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i/>
                <w:iCs/>
              </w:rPr>
            </w:pP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 xml:space="preserve">Jegyzett tőke (1 </w:t>
            </w:r>
            <w:proofErr w:type="spellStart"/>
            <w:r w:rsidRPr="00194272">
              <w:rPr>
                <w:rFonts w:asciiTheme="minorHAnsi" w:hAnsiTheme="minorHAnsi"/>
                <w:sz w:val="22"/>
                <w:szCs w:val="22"/>
              </w:rPr>
              <w:t>eFt-os</w:t>
            </w:r>
            <w:proofErr w:type="spellEnd"/>
            <w:r w:rsidRPr="00194272">
              <w:rPr>
                <w:rFonts w:asciiTheme="minorHAnsi" w:hAnsiTheme="minorHAnsi"/>
                <w:sz w:val="22"/>
                <w:szCs w:val="22"/>
              </w:rPr>
              <w:t xml:space="preserve"> részvények)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40 000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30 000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20 000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Tőketartalék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Eredménytartalék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200 000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60 000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ind w:left="720"/>
              <w:jc w:val="both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240 000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100 000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160 000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194272">
              <w:rPr>
                <w:rFonts w:asciiTheme="minorHAnsi" w:hAnsiTheme="minorHAnsi"/>
                <w:i/>
                <w:iCs/>
                <w:sz w:val="22"/>
                <w:szCs w:val="22"/>
              </w:rPr>
              <w:t>Kötelezettségek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i/>
                <w:iCs/>
              </w:rPr>
            </w:pP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Hosszú lejáratú hitelek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80 000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100 000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Munkavállalókkal szembeni kötelezettségek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(D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19427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Céltartalékok – rövid lejárat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(D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19427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30 000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Szállítótartozások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(4)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110 000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120 000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</w:rPr>
            </w:pPr>
            <w:r w:rsidRPr="00194272">
              <w:rPr>
                <w:rFonts w:asciiTheme="minorHAnsi" w:hAnsiTheme="minorHAnsi"/>
                <w:sz w:val="22"/>
                <w:szCs w:val="22"/>
              </w:rPr>
              <w:t>140 000</w:t>
            </w:r>
          </w:p>
        </w:tc>
      </w:tr>
      <w:tr w:rsidR="00040ADB" w:rsidRPr="00194272" w:rsidTr="00A2793A">
        <w:trPr>
          <w:jc w:val="center"/>
        </w:trPr>
        <w:tc>
          <w:tcPr>
            <w:tcW w:w="4478" w:type="dxa"/>
          </w:tcPr>
          <w:p w:rsidR="00040ADB" w:rsidRPr="00194272" w:rsidRDefault="00040ADB" w:rsidP="00A2793A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SAJÁT TŐKE </w:t>
            </w:r>
            <w:proofErr w:type="gramStart"/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ÉS</w:t>
            </w:r>
            <w:proofErr w:type="gramEnd"/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KÖTELEZETTSÉGEK ÖSSZESEN:</w:t>
            </w:r>
          </w:p>
        </w:tc>
        <w:tc>
          <w:tcPr>
            <w:tcW w:w="993" w:type="dxa"/>
          </w:tcPr>
          <w:p w:rsidR="00040ADB" w:rsidRPr="00194272" w:rsidRDefault="00040ADB" w:rsidP="00A2793A">
            <w:pPr>
              <w:ind w:left="34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0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500 000</w:t>
            </w:r>
          </w:p>
        </w:tc>
        <w:tc>
          <w:tcPr>
            <w:tcW w:w="1235" w:type="dxa"/>
          </w:tcPr>
          <w:p w:rsidR="00040ADB" w:rsidRPr="00194272" w:rsidRDefault="00040ADB" w:rsidP="00A2793A">
            <w:pPr>
              <w:ind w:left="-25"/>
              <w:jc w:val="right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300 000</w:t>
            </w:r>
          </w:p>
        </w:tc>
        <w:tc>
          <w:tcPr>
            <w:tcW w:w="1406" w:type="dxa"/>
          </w:tcPr>
          <w:p w:rsidR="00040ADB" w:rsidRPr="00194272" w:rsidRDefault="00040ADB" w:rsidP="00A2793A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194272">
              <w:rPr>
                <w:rFonts w:asciiTheme="minorHAnsi" w:hAnsiTheme="minorHAnsi"/>
                <w:b/>
                <w:bCs/>
                <w:sz w:val="22"/>
                <w:szCs w:val="22"/>
              </w:rPr>
              <w:t>400 000</w:t>
            </w:r>
          </w:p>
        </w:tc>
      </w:tr>
    </w:tbl>
    <w:p w:rsidR="00040ADB" w:rsidRDefault="00040ADB" w:rsidP="00040ADB">
      <w:pPr>
        <w:contextualSpacing/>
        <w:jc w:val="both"/>
        <w:rPr>
          <w:b/>
          <w:sz w:val="22"/>
          <w:szCs w:val="22"/>
        </w:rPr>
      </w:pPr>
    </w:p>
    <w:p w:rsidR="00040ADB" w:rsidRDefault="00040ADB" w:rsidP="00040ADB">
      <w:pPr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VOX egyedi pénzügyi kimutatásaihoz adatok:</w:t>
      </w:r>
    </w:p>
    <w:p w:rsidR="00040ADB" w:rsidRDefault="00040ADB" w:rsidP="00040ADB">
      <w:pPr>
        <w:contextualSpacing/>
        <w:jc w:val="both"/>
        <w:rPr>
          <w:sz w:val="22"/>
          <w:szCs w:val="22"/>
        </w:rPr>
      </w:pPr>
    </w:p>
    <w:p w:rsidR="00040ADB" w:rsidRPr="00DF2DCC" w:rsidRDefault="00040ADB" w:rsidP="00040ADB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VOX</w:t>
      </w:r>
      <w:r w:rsidRPr="00DF2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következő </w:t>
      </w:r>
      <w:r w:rsidRPr="00DF2DCC">
        <w:rPr>
          <w:sz w:val="22"/>
          <w:szCs w:val="22"/>
        </w:rPr>
        <w:t>– egyedi pénzügyi kimutatásra ható – gazdasági esemény</w:t>
      </w:r>
      <w:r>
        <w:rPr>
          <w:sz w:val="22"/>
          <w:szCs w:val="22"/>
        </w:rPr>
        <w:t>eket</w:t>
      </w:r>
      <w:r w:rsidRPr="00DF2DCC">
        <w:rPr>
          <w:sz w:val="22"/>
          <w:szCs w:val="22"/>
        </w:rPr>
        <w:t xml:space="preserve"> még nem rögzítette, mert nem volt </w:t>
      </w:r>
      <w:r>
        <w:rPr>
          <w:sz w:val="22"/>
          <w:szCs w:val="22"/>
        </w:rPr>
        <w:t xml:space="preserve">tisztában a kezelés módjával. Az </w:t>
      </w:r>
      <w:r w:rsidRPr="00DF2DCC">
        <w:rPr>
          <w:sz w:val="22"/>
          <w:szCs w:val="22"/>
        </w:rPr>
        <w:t>esemény</w:t>
      </w:r>
      <w:r>
        <w:rPr>
          <w:sz w:val="22"/>
          <w:szCs w:val="22"/>
        </w:rPr>
        <w:t>ek</w:t>
      </w:r>
      <w:r w:rsidRPr="00DF2DCC">
        <w:rPr>
          <w:sz w:val="22"/>
          <w:szCs w:val="22"/>
        </w:rPr>
        <w:t xml:space="preserve"> a következő</w:t>
      </w:r>
      <w:r>
        <w:rPr>
          <w:sz w:val="22"/>
          <w:szCs w:val="22"/>
        </w:rPr>
        <w:t>k</w:t>
      </w:r>
      <w:r w:rsidRPr="00DF2DCC">
        <w:rPr>
          <w:sz w:val="22"/>
          <w:szCs w:val="22"/>
        </w:rPr>
        <w:t>:</w:t>
      </w:r>
    </w:p>
    <w:p w:rsidR="00040ADB" w:rsidRDefault="00040ADB" w:rsidP="00040ADB">
      <w:pPr>
        <w:contextualSpacing/>
        <w:jc w:val="both"/>
        <w:rPr>
          <w:b/>
          <w:sz w:val="22"/>
          <w:szCs w:val="22"/>
        </w:rPr>
      </w:pPr>
    </w:p>
    <w:p w:rsidR="00040ADB" w:rsidRPr="00E57850" w:rsidRDefault="00040ADB" w:rsidP="00040ADB">
      <w:pPr>
        <w:contextualSpacing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A.</w:t>
      </w:r>
      <w:proofErr w:type="gramEnd"/>
      <w:r>
        <w:rPr>
          <w:b/>
          <w:sz w:val="22"/>
          <w:szCs w:val="22"/>
        </w:rPr>
        <w:t xml:space="preserve"> Pénzügyi instrumentum</w:t>
      </w:r>
    </w:p>
    <w:p w:rsidR="00040ADB" w:rsidRDefault="00040ADB" w:rsidP="00040ADB">
      <w:pPr>
        <w:contextualSpacing/>
        <w:jc w:val="both"/>
        <w:rPr>
          <w:sz w:val="22"/>
          <w:szCs w:val="22"/>
        </w:rPr>
      </w:pPr>
      <w:r w:rsidRPr="00D34ACC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D34AC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január </w:t>
      </w:r>
      <w:r w:rsidRPr="00D34ACC">
        <w:rPr>
          <w:sz w:val="22"/>
          <w:szCs w:val="22"/>
        </w:rPr>
        <w:t xml:space="preserve">1-jén </w:t>
      </w:r>
      <w:r>
        <w:rPr>
          <w:sz w:val="22"/>
          <w:szCs w:val="22"/>
        </w:rPr>
        <w:t>VOX</w:t>
      </w:r>
      <w:r w:rsidRPr="00D34ACC">
        <w:rPr>
          <w:sz w:val="22"/>
          <w:szCs w:val="22"/>
        </w:rPr>
        <w:t xml:space="preserve"> megvásárolta egy másik </w:t>
      </w:r>
      <w:r>
        <w:rPr>
          <w:sz w:val="22"/>
          <w:szCs w:val="22"/>
        </w:rPr>
        <w:t>társaság kötvényeit (kibocsátáskor)</w:t>
      </w:r>
      <w:r w:rsidRPr="00D34ACC">
        <w:rPr>
          <w:sz w:val="22"/>
          <w:szCs w:val="22"/>
        </w:rPr>
        <w:t xml:space="preserve">, amelyeket (helyesen) </w:t>
      </w:r>
      <w:r>
        <w:rPr>
          <w:sz w:val="22"/>
          <w:szCs w:val="22"/>
        </w:rPr>
        <w:t xml:space="preserve">lejáratig tartandó </w:t>
      </w:r>
      <w:r w:rsidRPr="00D34ACC">
        <w:rPr>
          <w:sz w:val="22"/>
          <w:szCs w:val="22"/>
        </w:rPr>
        <w:t xml:space="preserve">pénzügyi instrumentumok közé sorolt be. </w:t>
      </w:r>
      <w:r>
        <w:rPr>
          <w:sz w:val="22"/>
          <w:szCs w:val="22"/>
        </w:rPr>
        <w:t xml:space="preserve">Az instrumentum bekerülési értéke 16 000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, névértéke 15 000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. Névleges kamatlába 7 %, effektív kamatlába 5,4%. Futamidő 5 év. Kamatfizetés minden év végén, törlesztés futamidő végén. </w:t>
      </w:r>
    </w:p>
    <w:p w:rsidR="00040ADB" w:rsidRDefault="00040ADB" w:rsidP="00040ADB">
      <w:pPr>
        <w:contextualSpacing/>
        <w:jc w:val="both"/>
        <w:rPr>
          <w:sz w:val="22"/>
          <w:szCs w:val="22"/>
        </w:rPr>
      </w:pPr>
      <w:r w:rsidRPr="00D34ACC">
        <w:rPr>
          <w:sz w:val="22"/>
          <w:szCs w:val="22"/>
        </w:rPr>
        <w:t xml:space="preserve">A könyvelő </w:t>
      </w:r>
      <w:r>
        <w:rPr>
          <w:sz w:val="22"/>
          <w:szCs w:val="22"/>
        </w:rPr>
        <w:t>a megkapott és pénzügyileg is rendezett kamat összegét már elszámolta pénzügyi bevételként, de más év végi eseményt még nem számolta el.</w:t>
      </w:r>
    </w:p>
    <w:p w:rsidR="00040ADB" w:rsidRDefault="00040ADB" w:rsidP="00040A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B. Befektetési célú ingatlan</w:t>
      </w:r>
    </w:p>
    <w:p w:rsidR="00040ADB" w:rsidRDefault="00040ADB" w:rsidP="00040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befektetési célú ingatlanokat 2012. március 1-jén vásárolta VOX, hogy azt külső feleknek operatív lízing formájában </w:t>
      </w:r>
      <w:proofErr w:type="spellStart"/>
      <w:r>
        <w:rPr>
          <w:sz w:val="22"/>
          <w:szCs w:val="22"/>
        </w:rPr>
        <w:t>bérbeadja</w:t>
      </w:r>
      <w:proofErr w:type="spellEnd"/>
      <w:r>
        <w:rPr>
          <w:sz w:val="22"/>
          <w:szCs w:val="22"/>
        </w:rPr>
        <w:t xml:space="preserve">. A hasznos élettartamot 50 évben állapította meg, maradványértéke 20 000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. 2012. fordulónapra vonatkozóan a valós értéke 92 000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>. A számviteli politika alapján VOX valós értéken értékeli befektetési célú ingatlanjait.</w:t>
      </w:r>
    </w:p>
    <w:p w:rsidR="00040ADB" w:rsidRDefault="00040ADB" w:rsidP="00040ADB">
      <w:pPr>
        <w:contextualSpacing/>
        <w:jc w:val="both"/>
        <w:rPr>
          <w:sz w:val="22"/>
          <w:szCs w:val="22"/>
        </w:rPr>
      </w:pPr>
    </w:p>
    <w:p w:rsidR="00040ADB" w:rsidRDefault="00040ADB" w:rsidP="00040A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C. Ingatlanok</w:t>
      </w:r>
    </w:p>
    <w:p w:rsidR="00040ADB" w:rsidRDefault="00040ADB" w:rsidP="00040ADB">
      <w:pPr>
        <w:jc w:val="both"/>
        <w:rPr>
          <w:sz w:val="22"/>
          <w:szCs w:val="22"/>
        </w:rPr>
      </w:pPr>
      <w:r>
        <w:rPr>
          <w:sz w:val="22"/>
          <w:szCs w:val="22"/>
        </w:rPr>
        <w:t>VOX egyedi pénzügyi kimutatásaiban saját használatú ingatlanjait eddig költség modell alapján értékelte. 2012 év elején úgy döntött, hogy a valósabb vagyonkép érdekében áttér az átértékelési modellre az ingatlanok kapcsán. Az ingatlanokról a következő kivonat készült december 31-re, az egyedi kimutatásokban (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>):</w:t>
      </w:r>
    </w:p>
    <w:p w:rsidR="00040ADB" w:rsidRDefault="00040ADB" w:rsidP="00040ADB">
      <w:pPr>
        <w:jc w:val="both"/>
        <w:rPr>
          <w:sz w:val="22"/>
          <w:szCs w:val="22"/>
        </w:rPr>
      </w:pPr>
    </w:p>
    <w:tbl>
      <w:tblPr>
        <w:tblStyle w:val="Rcsostblzat"/>
        <w:tblW w:w="5685" w:type="dxa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97"/>
        <w:gridCol w:w="1011"/>
        <w:gridCol w:w="1011"/>
        <w:gridCol w:w="1166"/>
      </w:tblGrid>
      <w:tr w:rsidR="00040ADB" w:rsidTr="00040ADB">
        <w:trPr>
          <w:jc w:val="center"/>
        </w:trPr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ADB" w:rsidRDefault="00040AD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ADB" w:rsidRDefault="00040A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Föld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ADB" w:rsidRDefault="00040A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Épület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ADB" w:rsidRDefault="00040A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Összesen</w:t>
            </w:r>
          </w:p>
        </w:tc>
      </w:tr>
      <w:tr w:rsidR="00040ADB" w:rsidTr="00040ADB">
        <w:trPr>
          <w:jc w:val="center"/>
        </w:trPr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ADB" w:rsidRDefault="00040A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Bekerülési érték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35 000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040ADB" w:rsidTr="00040ADB">
        <w:trPr>
          <w:jc w:val="center"/>
        </w:trPr>
        <w:tc>
          <w:tcPr>
            <w:tcW w:w="2498" w:type="dxa"/>
          </w:tcPr>
          <w:p w:rsidR="00040ADB" w:rsidRDefault="00040A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40ADB" w:rsidTr="00040ADB">
        <w:trPr>
          <w:jc w:val="center"/>
        </w:trPr>
        <w:tc>
          <w:tcPr>
            <w:tcW w:w="2498" w:type="dxa"/>
            <w:hideMark/>
          </w:tcPr>
          <w:p w:rsidR="00040ADB" w:rsidRDefault="00040A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Halmozott ÉCS 2012. január 1-jéig</w:t>
            </w:r>
          </w:p>
        </w:tc>
        <w:tc>
          <w:tcPr>
            <w:tcW w:w="1012" w:type="dxa"/>
            <w:hideMark/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hideMark/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14 000</w:t>
            </w:r>
          </w:p>
        </w:tc>
        <w:tc>
          <w:tcPr>
            <w:tcW w:w="1167" w:type="dxa"/>
            <w:hideMark/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14 000</w:t>
            </w:r>
          </w:p>
        </w:tc>
      </w:tr>
      <w:tr w:rsidR="00040ADB" w:rsidTr="00040ADB">
        <w:trPr>
          <w:jc w:val="center"/>
        </w:trPr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DB" w:rsidRDefault="00040ADB">
            <w:pPr>
              <w:rPr>
                <w:sz w:val="22"/>
                <w:szCs w:val="22"/>
                <w:lang w:eastAsia="en-US"/>
              </w:rPr>
            </w:pPr>
          </w:p>
          <w:p w:rsidR="00040ADB" w:rsidRDefault="00040A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Éves </w:t>
            </w:r>
            <w:proofErr w:type="spellStart"/>
            <w:r>
              <w:rPr>
                <w:sz w:val="22"/>
                <w:szCs w:val="22"/>
              </w:rPr>
              <w:t>écs</w:t>
            </w:r>
            <w:proofErr w:type="spellEnd"/>
            <w:r>
              <w:rPr>
                <w:sz w:val="22"/>
                <w:szCs w:val="22"/>
              </w:rPr>
              <w:t xml:space="preserve"> a költségmodell alapján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2 000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40ADB" w:rsidRDefault="00040A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</w:tbl>
    <w:p w:rsidR="00040ADB" w:rsidRDefault="00040ADB" w:rsidP="00040ADB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40ADB" w:rsidRDefault="00040ADB" w:rsidP="00040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átértékelés 2012. július 1-jén történik meg. VOX egyedi beszámolója még nem tartalmazza a 2012 évi értékcsökkenés elszámolását. </w:t>
      </w:r>
    </w:p>
    <w:p w:rsidR="00040ADB" w:rsidRDefault="00040ADB" w:rsidP="00040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értékbecslő véleménye szerint az ingatlanok értéke 60 000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, amelyből a föld értéke 20 000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. Az átértékelés napján megállapították, hogy az ingatlan ekkor hátralévő hasznos élettartama 20 év, a maradványérték jelentéktelen. VOX nem vezeti át az eredménytartalékba az átértékelésből megtérült részt. Az átértékelés hatását a július 1-jei értékek alapján határozták meg. A halasztott adóval nem kell foglalkoznia. Az értékcsökkenést még nem számolták el. </w:t>
      </w:r>
    </w:p>
    <w:p w:rsidR="00040ADB" w:rsidRDefault="00040ADB" w:rsidP="00040ADB">
      <w:pPr>
        <w:jc w:val="both"/>
        <w:rPr>
          <w:b/>
          <w:sz w:val="22"/>
          <w:szCs w:val="22"/>
        </w:rPr>
      </w:pPr>
    </w:p>
    <w:p w:rsidR="00040ADB" w:rsidRDefault="00040ADB" w:rsidP="00040A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D. Problémás esetek</w:t>
      </w:r>
    </w:p>
    <w:p w:rsidR="00040ADB" w:rsidRDefault="00040ADB" w:rsidP="00040ADB">
      <w:pPr>
        <w:jc w:val="both"/>
        <w:rPr>
          <w:sz w:val="22"/>
          <w:szCs w:val="22"/>
        </w:rPr>
      </w:pPr>
      <w:r>
        <w:rPr>
          <w:sz w:val="22"/>
          <w:szCs w:val="22"/>
        </w:rPr>
        <w:t>VOX főkönyvelője nem tudta kezelni az alábbi helyzeteket:</w:t>
      </w:r>
    </w:p>
    <w:p w:rsidR="00040ADB" w:rsidRDefault="00040ADB" w:rsidP="00040ADB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rövid lejáratú céltartalékok soron kimutatott összeg egy peres ügy jogcímen kerül beállításra (más tétel itt nem szerepel). A fordulónapot követően, január 28-án az eljárás lezárult, </w:t>
      </w:r>
      <w:proofErr w:type="spellStart"/>
      <w:r>
        <w:rPr>
          <w:sz w:val="22"/>
          <w:szCs w:val="22"/>
          <w:lang w:val="hu-HU"/>
        </w:rPr>
        <w:t>VOX-nak</w:t>
      </w:r>
      <w:proofErr w:type="spellEnd"/>
      <w:r>
        <w:rPr>
          <w:sz w:val="22"/>
          <w:szCs w:val="22"/>
          <w:lang w:val="hu-HU"/>
        </w:rPr>
        <w:t xml:space="preserve"> a bírósági határozat alapján 20 000 </w:t>
      </w:r>
      <w:proofErr w:type="spellStart"/>
      <w:r>
        <w:rPr>
          <w:sz w:val="22"/>
          <w:szCs w:val="22"/>
          <w:lang w:val="hu-HU"/>
        </w:rPr>
        <w:t>eFt-ot</w:t>
      </w:r>
      <w:proofErr w:type="spellEnd"/>
      <w:r>
        <w:rPr>
          <w:sz w:val="22"/>
          <w:szCs w:val="22"/>
          <w:lang w:val="hu-HU"/>
        </w:rPr>
        <w:t xml:space="preserve"> kell fizetnie kártérítésként partnerének. (Ez az információ a pénzügyi kimutatások közzétételre való engedélyezéséig ismerté vált.)</w:t>
      </w:r>
    </w:p>
    <w:p w:rsidR="00040ADB" w:rsidRDefault="00040ADB" w:rsidP="00040ADB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A társaság munkavállalói által 2012-ben ki nem vett szabadság napjainak száma 6 nap/fő. Az egy főre jutó átlagos bruttó bér járulékokkal együtt 12 </w:t>
      </w:r>
      <w:proofErr w:type="spellStart"/>
      <w:r>
        <w:rPr>
          <w:sz w:val="22"/>
          <w:szCs w:val="22"/>
          <w:lang w:val="hu-HU"/>
        </w:rPr>
        <w:t>eFt</w:t>
      </w:r>
      <w:proofErr w:type="spellEnd"/>
      <w:r>
        <w:rPr>
          <w:sz w:val="22"/>
          <w:szCs w:val="22"/>
          <w:lang w:val="hu-HU"/>
        </w:rPr>
        <w:t xml:space="preserve">. A munkavállalók létszáma 2012-ben 80 fő volt. Az új kollektív szerződés és a 2012-túl módosult hatályos jogszabályok alapján a ki nem vett szabadság tárgyévet követő két évig halmozható (továbbvihető). </w:t>
      </w:r>
    </w:p>
    <w:p w:rsidR="00040ADB" w:rsidRDefault="00040ADB" w:rsidP="00040ADB">
      <w:pPr>
        <w:pStyle w:val="Listaszerbekezds"/>
        <w:numPr>
          <w:ilvl w:val="0"/>
          <w:numId w:val="2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VOX szerkezeti struktúrájának és tevékenységének átszervezését tervezi. A tervezésben odáig jutott, hogy a menedzsment készített egy tervet, hogy mely üzletágakat kívánja értékesíteni, és felkérte a pénzügyi részleget, hogy számolják ki ennek lehetséges hatásait. Az első durva becslések alapján ennek becsült ráfordítása 87 000 </w:t>
      </w:r>
      <w:proofErr w:type="spellStart"/>
      <w:r>
        <w:rPr>
          <w:sz w:val="22"/>
          <w:szCs w:val="22"/>
          <w:lang w:val="hu-HU"/>
        </w:rPr>
        <w:t>eFt</w:t>
      </w:r>
      <w:proofErr w:type="spellEnd"/>
      <w:r>
        <w:rPr>
          <w:sz w:val="22"/>
          <w:szCs w:val="22"/>
          <w:lang w:val="hu-HU"/>
        </w:rPr>
        <w:t xml:space="preserve"> lesz, de még nem tudtak minden tényezőt figyelembe venni. VOX munkavállalói fordulónap előtt annyiról értesültek, hogy valamilyen átszerezésre lehet számítani, de konkrétan semmit sem hirdettek ki. </w:t>
      </w:r>
    </w:p>
    <w:p w:rsidR="00040ADB" w:rsidRDefault="00040AD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40ADB" w:rsidRDefault="00040ADB" w:rsidP="00040A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Információk a konszolidált értékekhez:</w:t>
      </w:r>
    </w:p>
    <w:p w:rsidR="00040ADB" w:rsidRDefault="00040ADB" w:rsidP="00040ADB">
      <w:pPr>
        <w:jc w:val="both"/>
        <w:rPr>
          <w:sz w:val="22"/>
          <w:szCs w:val="22"/>
        </w:rPr>
      </w:pPr>
    </w:p>
    <w:p w:rsidR="00040ADB" w:rsidRDefault="00040ADB" w:rsidP="00040A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A befektetések</w:t>
      </w:r>
    </w:p>
    <w:p w:rsidR="00896885" w:rsidRDefault="00896885" w:rsidP="00040ADB">
      <w:pPr>
        <w:jc w:val="both"/>
        <w:rPr>
          <w:b/>
          <w:i/>
          <w:sz w:val="22"/>
          <w:szCs w:val="22"/>
        </w:rPr>
      </w:pPr>
    </w:p>
    <w:p w:rsidR="00040ADB" w:rsidRPr="00896885" w:rsidRDefault="00040ADB" w:rsidP="00040ADB">
      <w:pPr>
        <w:jc w:val="both"/>
        <w:rPr>
          <w:b/>
          <w:i/>
          <w:sz w:val="22"/>
          <w:szCs w:val="22"/>
        </w:rPr>
      </w:pPr>
      <w:proofErr w:type="gramStart"/>
      <w:r w:rsidRPr="00896885">
        <w:rPr>
          <w:b/>
          <w:i/>
          <w:sz w:val="22"/>
          <w:szCs w:val="22"/>
        </w:rPr>
        <w:t>a</w:t>
      </w:r>
      <w:proofErr w:type="gramEnd"/>
      <w:r w:rsidRPr="00896885">
        <w:rPr>
          <w:b/>
          <w:i/>
          <w:sz w:val="22"/>
          <w:szCs w:val="22"/>
        </w:rPr>
        <w:t>) FOXY megszerzése</w:t>
      </w:r>
    </w:p>
    <w:p w:rsidR="00040ADB" w:rsidRDefault="00040ADB" w:rsidP="00040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r>
        <w:rPr>
          <w:i/>
          <w:sz w:val="22"/>
          <w:szCs w:val="22"/>
        </w:rPr>
        <w:t>július</w:t>
      </w:r>
      <w:r>
        <w:rPr>
          <w:sz w:val="22"/>
          <w:szCs w:val="22"/>
        </w:rPr>
        <w:t xml:space="preserve"> 1-jén VOX 90 %-os szavazati jogot szerzett </w:t>
      </w:r>
      <w:proofErr w:type="spellStart"/>
      <w:r>
        <w:rPr>
          <w:sz w:val="22"/>
          <w:szCs w:val="22"/>
        </w:rPr>
        <w:t>FOXY-ban</w:t>
      </w:r>
      <w:proofErr w:type="spellEnd"/>
      <w:r>
        <w:rPr>
          <w:sz w:val="22"/>
          <w:szCs w:val="22"/>
        </w:rPr>
        <w:t xml:space="preserve">. Ennek fejében 50 000 </w:t>
      </w:r>
      <w:proofErr w:type="spellStart"/>
      <w:r>
        <w:rPr>
          <w:sz w:val="22"/>
          <w:szCs w:val="22"/>
        </w:rPr>
        <w:t>eFt-ot</w:t>
      </w:r>
      <w:proofErr w:type="spellEnd"/>
      <w:r>
        <w:rPr>
          <w:sz w:val="22"/>
          <w:szCs w:val="22"/>
        </w:rPr>
        <w:t xml:space="preserve"> fizettek pénzeszközzel. A felvásárlás lebonyolításáért VOX 5 000 </w:t>
      </w:r>
      <w:proofErr w:type="spellStart"/>
      <w:r>
        <w:rPr>
          <w:sz w:val="22"/>
          <w:szCs w:val="22"/>
        </w:rPr>
        <w:t>eFt-ot</w:t>
      </w:r>
      <w:proofErr w:type="spellEnd"/>
      <w:r>
        <w:rPr>
          <w:sz w:val="22"/>
          <w:szCs w:val="22"/>
        </w:rPr>
        <w:t xml:space="preserve"> fizetett egy tanácsadó cégnek. Emellett VOX – a vételár részeként – kibocsátott új részvényeket, amelyet átadott FOXY korábbi tulajdonosainak. Összesen 20 000 darab 1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 névértékű részvény kibocsátásra került sor. A részvények piaci ára a kibocsátás napján 3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 volt darabonként.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040ADB" w:rsidRDefault="00040ADB" w:rsidP="00040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VOX egyedi pénzügyi kimutatásaiban kizárólag a pénzeszközben fizetett vételár került elszámolásra. </w:t>
      </w:r>
    </w:p>
    <w:p w:rsidR="00040ADB" w:rsidRDefault="00040ADB" w:rsidP="00040ADB">
      <w:pPr>
        <w:jc w:val="both"/>
        <w:rPr>
          <w:sz w:val="22"/>
          <w:szCs w:val="22"/>
        </w:rPr>
      </w:pPr>
    </w:p>
    <w:p w:rsidR="00040ADB" w:rsidRDefault="00040ADB" w:rsidP="00040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FOXY megszerzésekor megállapították, hogy az egyik termelő berendezésének a valós értéke 6 000 </w:t>
      </w:r>
      <w:proofErr w:type="spellStart"/>
      <w:r>
        <w:rPr>
          <w:sz w:val="22"/>
          <w:szCs w:val="22"/>
        </w:rPr>
        <w:t>eFt-tal</w:t>
      </w:r>
      <w:proofErr w:type="spellEnd"/>
      <w:r>
        <w:rPr>
          <w:sz w:val="22"/>
          <w:szCs w:val="22"/>
        </w:rPr>
        <w:t xml:space="preserve"> meghaladja azok valós értékét. A megszerzéskor – július 1. – hátralévő hasznos élettartam 6 év volt. A valós érték módosítást nem rögzítették az egyedi pénzügyi kimutatásokban.</w:t>
      </w:r>
    </w:p>
    <w:p w:rsidR="00040ADB" w:rsidRDefault="00040ADB" w:rsidP="00040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Ezen kívül azonosításra került a felvásárlás során egy származékos ügylet, amely </w:t>
      </w:r>
      <w:proofErr w:type="spellStart"/>
      <w:r>
        <w:rPr>
          <w:sz w:val="22"/>
          <w:szCs w:val="22"/>
        </w:rPr>
        <w:t>FOXYnak</w:t>
      </w:r>
      <w:proofErr w:type="spellEnd"/>
      <w:r>
        <w:rPr>
          <w:sz w:val="22"/>
          <w:szCs w:val="22"/>
        </w:rPr>
        <w:t xml:space="preserve"> jövőbeni kötelezettséget jelenthet, és amely valós értéke 10 000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 xml:space="preserve"> volt mind a felvásárláskor, mind a fordulónapra vonatkozóan. </w:t>
      </w:r>
    </w:p>
    <w:p w:rsidR="00040ADB" w:rsidRDefault="00040ADB" w:rsidP="00040ADB">
      <w:pPr>
        <w:jc w:val="both"/>
        <w:rPr>
          <w:i/>
          <w:sz w:val="22"/>
          <w:szCs w:val="22"/>
        </w:rPr>
      </w:pPr>
    </w:p>
    <w:p w:rsidR="00040ADB" w:rsidRPr="00896885" w:rsidRDefault="00040ADB" w:rsidP="00040ADB">
      <w:pPr>
        <w:jc w:val="both"/>
        <w:rPr>
          <w:b/>
          <w:i/>
          <w:sz w:val="22"/>
          <w:szCs w:val="22"/>
        </w:rPr>
      </w:pPr>
      <w:r w:rsidRPr="00896885">
        <w:rPr>
          <w:b/>
          <w:i/>
          <w:sz w:val="22"/>
          <w:szCs w:val="22"/>
        </w:rPr>
        <w:t>b) NOXA megszerzése</w:t>
      </w:r>
    </w:p>
    <w:p w:rsidR="00040ADB" w:rsidRDefault="00040ADB" w:rsidP="00040AD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NOXA-ában</w:t>
      </w:r>
      <w:proofErr w:type="spellEnd"/>
      <w:r>
        <w:rPr>
          <w:sz w:val="22"/>
          <w:szCs w:val="22"/>
        </w:rPr>
        <w:t xml:space="preserve"> 30%-nyi jegyezett tőkét és szavazatot szerzett meg VOX 2012. </w:t>
      </w:r>
      <w:r>
        <w:rPr>
          <w:i/>
          <w:sz w:val="22"/>
          <w:szCs w:val="22"/>
        </w:rPr>
        <w:t>január</w:t>
      </w:r>
      <w:r>
        <w:rPr>
          <w:sz w:val="22"/>
          <w:szCs w:val="22"/>
        </w:rPr>
        <w:t xml:space="preserve"> 1-jén. A vételár összege szerepel VOX egyedi kimutatásában. </w:t>
      </w:r>
    </w:p>
    <w:p w:rsidR="00040ADB" w:rsidRDefault="00040ADB" w:rsidP="00040ADB">
      <w:pPr>
        <w:jc w:val="both"/>
        <w:rPr>
          <w:sz w:val="22"/>
          <w:szCs w:val="22"/>
        </w:rPr>
      </w:pPr>
    </w:p>
    <w:p w:rsidR="00040ADB" w:rsidRDefault="00040ADB" w:rsidP="00040A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Az eredménytartalék mozgása az egyedi pénzügyi kimutatásokban és az eredmény keletkezése</w:t>
      </w:r>
    </w:p>
    <w:tbl>
      <w:tblPr>
        <w:tblW w:w="9375" w:type="dxa"/>
        <w:jc w:val="center"/>
        <w:tblLayout w:type="fixed"/>
        <w:tblLook w:val="00A0"/>
      </w:tblPr>
      <w:tblGrid>
        <w:gridCol w:w="4480"/>
        <w:gridCol w:w="994"/>
        <w:gridCol w:w="1260"/>
        <w:gridCol w:w="1235"/>
        <w:gridCol w:w="1406"/>
      </w:tblGrid>
      <w:tr w:rsidR="00040ADB" w:rsidTr="00040ADB">
        <w:trPr>
          <w:jc w:val="center"/>
        </w:trPr>
        <w:tc>
          <w:tcPr>
            <w:tcW w:w="4478" w:type="dxa"/>
          </w:tcPr>
          <w:p w:rsidR="00040ADB" w:rsidRDefault="00040ADB">
            <w:pPr>
              <w:ind w:left="72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040ADB" w:rsidRDefault="00040ADB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ADB" w:rsidRDefault="00040A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VOX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ADB" w:rsidRDefault="00040ADB">
            <w:pPr>
              <w:ind w:left="-25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FOXY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0ADB" w:rsidRDefault="00040A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NOXA</w:t>
            </w:r>
          </w:p>
        </w:tc>
      </w:tr>
      <w:tr w:rsidR="00040ADB" w:rsidTr="00040ADB">
        <w:trPr>
          <w:jc w:val="center"/>
        </w:trPr>
        <w:tc>
          <w:tcPr>
            <w:tcW w:w="4478" w:type="dxa"/>
            <w:hideMark/>
          </w:tcPr>
          <w:p w:rsidR="00040ADB" w:rsidRDefault="00040AD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Nyitó eredménytartalék</w:t>
            </w:r>
          </w:p>
        </w:tc>
        <w:tc>
          <w:tcPr>
            <w:tcW w:w="993" w:type="dxa"/>
          </w:tcPr>
          <w:p w:rsidR="00040ADB" w:rsidRDefault="00040ADB">
            <w:pPr>
              <w:ind w:left="34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ADB" w:rsidRDefault="00040AD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ADB" w:rsidRDefault="00040ADB">
            <w:pPr>
              <w:ind w:left="-2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20 000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ADB" w:rsidRDefault="00040AD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100 000</w:t>
            </w:r>
          </w:p>
        </w:tc>
      </w:tr>
      <w:tr w:rsidR="00040ADB" w:rsidTr="00040ADB">
        <w:trPr>
          <w:jc w:val="center"/>
        </w:trPr>
        <w:tc>
          <w:tcPr>
            <w:tcW w:w="4478" w:type="dxa"/>
            <w:hideMark/>
          </w:tcPr>
          <w:p w:rsidR="00040ADB" w:rsidRDefault="00040AD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Tárgyévi eredmény</w:t>
            </w:r>
          </w:p>
        </w:tc>
        <w:tc>
          <w:tcPr>
            <w:tcW w:w="993" w:type="dxa"/>
          </w:tcPr>
          <w:p w:rsidR="00040ADB" w:rsidRDefault="00040ADB">
            <w:pPr>
              <w:ind w:left="34"/>
              <w:jc w:val="center"/>
              <w:rPr>
                <w:bCs/>
              </w:rPr>
            </w:pPr>
          </w:p>
        </w:tc>
        <w:tc>
          <w:tcPr>
            <w:tcW w:w="1260" w:type="dxa"/>
            <w:hideMark/>
          </w:tcPr>
          <w:p w:rsidR="00040ADB" w:rsidRDefault="00040AD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140 000</w:t>
            </w:r>
          </w:p>
        </w:tc>
        <w:tc>
          <w:tcPr>
            <w:tcW w:w="1235" w:type="dxa"/>
            <w:hideMark/>
          </w:tcPr>
          <w:p w:rsidR="00040ADB" w:rsidRDefault="00040ADB">
            <w:pPr>
              <w:ind w:left="-2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80 000</w:t>
            </w:r>
          </w:p>
        </w:tc>
        <w:tc>
          <w:tcPr>
            <w:tcW w:w="1406" w:type="dxa"/>
            <w:hideMark/>
          </w:tcPr>
          <w:p w:rsidR="00040ADB" w:rsidRDefault="00040AD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60 000</w:t>
            </w:r>
          </w:p>
        </w:tc>
      </w:tr>
      <w:tr w:rsidR="00040ADB" w:rsidTr="00040ADB">
        <w:trPr>
          <w:jc w:val="center"/>
        </w:trPr>
        <w:tc>
          <w:tcPr>
            <w:tcW w:w="4478" w:type="dxa"/>
            <w:hideMark/>
          </w:tcPr>
          <w:p w:rsidR="00040ADB" w:rsidRDefault="00040AD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Osztalék (kifizetve)</w:t>
            </w:r>
          </w:p>
        </w:tc>
        <w:tc>
          <w:tcPr>
            <w:tcW w:w="993" w:type="dxa"/>
          </w:tcPr>
          <w:p w:rsidR="00040ADB" w:rsidRDefault="00040ADB">
            <w:pPr>
              <w:ind w:left="34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0ADB" w:rsidRDefault="00040AD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-40 000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0ADB" w:rsidRDefault="00040ADB">
            <w:pPr>
              <w:ind w:left="-2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-40 000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0ADB" w:rsidRDefault="00040ADB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-20 000</w:t>
            </w:r>
          </w:p>
        </w:tc>
      </w:tr>
      <w:tr w:rsidR="00040ADB" w:rsidTr="00040ADB">
        <w:trPr>
          <w:jc w:val="center"/>
        </w:trPr>
        <w:tc>
          <w:tcPr>
            <w:tcW w:w="4478" w:type="dxa"/>
            <w:hideMark/>
          </w:tcPr>
          <w:p w:rsidR="00040ADB" w:rsidRDefault="00040ADB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Záró eredménytartalék</w:t>
            </w:r>
          </w:p>
        </w:tc>
        <w:tc>
          <w:tcPr>
            <w:tcW w:w="993" w:type="dxa"/>
          </w:tcPr>
          <w:p w:rsidR="00040ADB" w:rsidRDefault="00040ADB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ADB" w:rsidRDefault="00040ADB">
            <w:pPr>
              <w:jc w:val="right"/>
              <w:rPr>
                <w:b/>
                <w:bCs/>
              </w:rPr>
            </w:pPr>
            <w:r>
              <w:rPr>
                <w:sz w:val="22"/>
                <w:szCs w:val="22"/>
              </w:rPr>
              <w:t>200 000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ADB" w:rsidRDefault="00040ADB">
            <w:pPr>
              <w:ind w:left="-25"/>
              <w:jc w:val="right"/>
              <w:rPr>
                <w:b/>
                <w:bCs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0ADB" w:rsidRDefault="00040ADB">
            <w:pPr>
              <w:jc w:val="right"/>
              <w:rPr>
                <w:b/>
                <w:bCs/>
              </w:rPr>
            </w:pPr>
            <w:r>
              <w:rPr>
                <w:sz w:val="22"/>
                <w:szCs w:val="22"/>
              </w:rPr>
              <w:t>140 000</w:t>
            </w:r>
          </w:p>
        </w:tc>
      </w:tr>
    </w:tbl>
    <w:p w:rsidR="00040ADB" w:rsidRDefault="00040ADB" w:rsidP="00040ADB">
      <w:pPr>
        <w:jc w:val="both"/>
        <w:rPr>
          <w:sz w:val="22"/>
          <w:szCs w:val="22"/>
        </w:rPr>
      </w:pPr>
    </w:p>
    <w:p w:rsidR="00040ADB" w:rsidRDefault="00040ADB" w:rsidP="00040A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jegyzett tőkék és tőketartalékok alapítása óta változatlanok. Az eredmény az év során egyenletesen keletkezik. Az osztalékról december 2012. december 31-én döntöttek a tulajdonosok (és aznap pénzügyileg rendezésre is került minden esetben). </w:t>
      </w:r>
      <w:proofErr w:type="spellStart"/>
      <w:r>
        <w:rPr>
          <w:sz w:val="22"/>
          <w:szCs w:val="22"/>
        </w:rPr>
        <w:t>Vox</w:t>
      </w:r>
      <w:proofErr w:type="spellEnd"/>
      <w:r>
        <w:rPr>
          <w:sz w:val="22"/>
          <w:szCs w:val="22"/>
        </w:rPr>
        <w:t xml:space="preserve"> a kapott osztalékokat pénzügyi bevételként számolta el az egyedi pénzügyi kimutatásokban.</w:t>
      </w:r>
    </w:p>
    <w:p w:rsidR="00896885" w:rsidRDefault="00896885" w:rsidP="00040ADB">
      <w:pPr>
        <w:jc w:val="both"/>
        <w:rPr>
          <w:b/>
          <w:sz w:val="22"/>
          <w:szCs w:val="22"/>
        </w:rPr>
      </w:pPr>
    </w:p>
    <w:p w:rsidR="00040ADB" w:rsidRDefault="00040ADB" w:rsidP="00040A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Goodwill</w:t>
      </w:r>
      <w:bookmarkStart w:id="0" w:name="_GoBack"/>
      <w:bookmarkEnd w:id="0"/>
    </w:p>
    <w:p w:rsidR="00040ADB" w:rsidRDefault="00040ADB" w:rsidP="00040ADB">
      <w:pPr>
        <w:jc w:val="both"/>
        <w:rPr>
          <w:sz w:val="22"/>
          <w:szCs w:val="22"/>
        </w:rPr>
      </w:pPr>
      <w:r>
        <w:rPr>
          <w:sz w:val="22"/>
          <w:szCs w:val="22"/>
        </w:rPr>
        <w:t>FOXY különálló pénztermelő egység (CGU) a csoport szempontjából. FOXY megtérülő értéke meghaladja nettó eszközértékét.</w:t>
      </w:r>
    </w:p>
    <w:p w:rsidR="00040ADB" w:rsidRDefault="00040ADB" w:rsidP="00040ADB">
      <w:pPr>
        <w:jc w:val="both"/>
        <w:rPr>
          <w:b/>
          <w:sz w:val="22"/>
          <w:szCs w:val="22"/>
        </w:rPr>
      </w:pPr>
    </w:p>
    <w:p w:rsidR="00040ADB" w:rsidRDefault="00040ADB" w:rsidP="00040AD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Egymás közötti tranzakciók</w:t>
      </w:r>
    </w:p>
    <w:p w:rsidR="00040ADB" w:rsidRDefault="00040ADB" w:rsidP="00040ADB">
      <w:pPr>
        <w:pStyle w:val="Listaszerbekezds"/>
        <w:numPr>
          <w:ilvl w:val="0"/>
          <w:numId w:val="1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VOX eladott </w:t>
      </w:r>
      <w:proofErr w:type="spellStart"/>
      <w:r>
        <w:rPr>
          <w:sz w:val="22"/>
          <w:szCs w:val="22"/>
          <w:lang w:val="hu-HU"/>
        </w:rPr>
        <w:t>FOXY-nak</w:t>
      </w:r>
      <w:proofErr w:type="spellEnd"/>
      <w:r>
        <w:rPr>
          <w:sz w:val="22"/>
          <w:szCs w:val="22"/>
          <w:lang w:val="hu-HU"/>
        </w:rPr>
        <w:t xml:space="preserve"> 20 000 </w:t>
      </w:r>
      <w:proofErr w:type="spellStart"/>
      <w:r>
        <w:rPr>
          <w:sz w:val="22"/>
          <w:szCs w:val="22"/>
          <w:lang w:val="hu-HU"/>
        </w:rPr>
        <w:t>eFt</w:t>
      </w:r>
      <w:proofErr w:type="spellEnd"/>
      <w:r>
        <w:rPr>
          <w:sz w:val="22"/>
          <w:szCs w:val="22"/>
          <w:lang w:val="hu-HU"/>
        </w:rPr>
        <w:t xml:space="preserve"> eladású </w:t>
      </w:r>
      <w:proofErr w:type="gramStart"/>
      <w:r>
        <w:rPr>
          <w:sz w:val="22"/>
          <w:szCs w:val="22"/>
          <w:lang w:val="hu-HU"/>
        </w:rPr>
        <w:t>áru készletet</w:t>
      </w:r>
      <w:proofErr w:type="gramEnd"/>
      <w:r>
        <w:rPr>
          <w:sz w:val="22"/>
          <w:szCs w:val="22"/>
          <w:lang w:val="hu-HU"/>
        </w:rPr>
        <w:t xml:space="preserve">, amelyen 4 000 </w:t>
      </w:r>
      <w:proofErr w:type="spellStart"/>
      <w:r>
        <w:rPr>
          <w:sz w:val="22"/>
          <w:szCs w:val="22"/>
          <w:lang w:val="hu-HU"/>
        </w:rPr>
        <w:t>eFt</w:t>
      </w:r>
      <w:proofErr w:type="spellEnd"/>
      <w:r>
        <w:rPr>
          <w:sz w:val="22"/>
          <w:szCs w:val="22"/>
          <w:lang w:val="hu-HU"/>
        </w:rPr>
        <w:t xml:space="preserve"> eredményt ért el. Ennek a készletnek az egy negyede még év végén is FOXY raktárában van.</w:t>
      </w:r>
    </w:p>
    <w:p w:rsidR="00040ADB" w:rsidRDefault="00040ADB" w:rsidP="00040ADB">
      <w:pPr>
        <w:pStyle w:val="Listaszerbekezds"/>
        <w:numPr>
          <w:ilvl w:val="0"/>
          <w:numId w:val="1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FOXY az év utolsó napjaiban indított útnak készleteket VOX felé és elszámolta a készletértékesítést, amely eladási ára 10 000 </w:t>
      </w:r>
      <w:proofErr w:type="spellStart"/>
      <w:r>
        <w:rPr>
          <w:sz w:val="22"/>
          <w:szCs w:val="22"/>
          <w:lang w:val="hu-HU"/>
        </w:rPr>
        <w:t>eFt</w:t>
      </w:r>
      <w:proofErr w:type="spellEnd"/>
      <w:r>
        <w:rPr>
          <w:sz w:val="22"/>
          <w:szCs w:val="22"/>
          <w:lang w:val="hu-HU"/>
        </w:rPr>
        <w:t xml:space="preserve"> volt, bekerülési értéken 7 000 </w:t>
      </w:r>
      <w:proofErr w:type="spellStart"/>
      <w:r>
        <w:rPr>
          <w:sz w:val="22"/>
          <w:szCs w:val="22"/>
          <w:lang w:val="hu-HU"/>
        </w:rPr>
        <w:t>eFt</w:t>
      </w:r>
      <w:proofErr w:type="spellEnd"/>
      <w:r>
        <w:rPr>
          <w:sz w:val="22"/>
          <w:szCs w:val="22"/>
          <w:lang w:val="hu-HU"/>
        </w:rPr>
        <w:t>. VOX csak 2013-ban könyvelte egyedi pénzügyi kimutatásaiban ezeket a tételeket.</w:t>
      </w:r>
    </w:p>
    <w:p w:rsidR="00040ADB" w:rsidRDefault="00040ADB" w:rsidP="00040ADB">
      <w:pPr>
        <w:pStyle w:val="Listaszerbekezds"/>
        <w:numPr>
          <w:ilvl w:val="0"/>
          <w:numId w:val="1"/>
        </w:numPr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FOXY kölcsönt kért </w:t>
      </w:r>
      <w:proofErr w:type="spellStart"/>
      <w:r>
        <w:rPr>
          <w:sz w:val="22"/>
          <w:szCs w:val="22"/>
          <w:lang w:val="hu-HU"/>
        </w:rPr>
        <w:t>VOX-tól</w:t>
      </w:r>
      <w:proofErr w:type="spellEnd"/>
      <w:r>
        <w:rPr>
          <w:sz w:val="22"/>
          <w:szCs w:val="22"/>
          <w:lang w:val="hu-HU"/>
        </w:rPr>
        <w:t xml:space="preserve"> rövid lejáratra 20 000 </w:t>
      </w:r>
      <w:proofErr w:type="spellStart"/>
      <w:r>
        <w:rPr>
          <w:sz w:val="22"/>
          <w:szCs w:val="22"/>
          <w:lang w:val="hu-HU"/>
        </w:rPr>
        <w:t>eFt-ot</w:t>
      </w:r>
      <w:proofErr w:type="spellEnd"/>
      <w:r>
        <w:rPr>
          <w:sz w:val="22"/>
          <w:szCs w:val="22"/>
          <w:lang w:val="hu-HU"/>
        </w:rPr>
        <w:t xml:space="preserve">. Ezt VOX fordulónap előtt átutalta, de FOXY bankszámláján csak a fordulónapot követően írták jóvá. </w:t>
      </w:r>
    </w:p>
    <w:p w:rsidR="00040ADB" w:rsidRDefault="00040ADB" w:rsidP="00040AD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FELADAT:</w:t>
      </w:r>
    </w:p>
    <w:p w:rsidR="00351930" w:rsidRDefault="00040ADB" w:rsidP="00040A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Készítse el a VOX Csoport konszolidált mérlegét 2012. december 31-re! Számításai során kerekítsen </w:t>
      </w:r>
      <w:proofErr w:type="spellStart"/>
      <w:r>
        <w:rPr>
          <w:b/>
          <w:bCs/>
          <w:sz w:val="22"/>
          <w:szCs w:val="22"/>
        </w:rPr>
        <w:t>eFt-ra</w:t>
      </w:r>
      <w:proofErr w:type="spellEnd"/>
      <w:r>
        <w:rPr>
          <w:b/>
          <w:bCs/>
          <w:sz w:val="22"/>
          <w:szCs w:val="22"/>
        </w:rPr>
        <w:t xml:space="preserve">!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[50 pont]</w:t>
      </w:r>
    </w:p>
    <w:p w:rsidR="00351930" w:rsidRDefault="00351930" w:rsidP="00351930">
      <w:pPr>
        <w:pStyle w:val="Listaszerbekezds"/>
        <w:spacing w:after="0"/>
        <w:ind w:left="0"/>
        <w:jc w:val="right"/>
        <w:rPr>
          <w:sz w:val="22"/>
          <w:szCs w:val="22"/>
          <w:lang w:val="hu-HU"/>
        </w:rPr>
      </w:pPr>
    </w:p>
    <w:p w:rsidR="00351930" w:rsidRDefault="00351930" w:rsidP="0035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 rész (2-4. feladatok): A három feladatból KETTŐT KELL megoldani!</w:t>
      </w:r>
    </w:p>
    <w:p w:rsidR="00351930" w:rsidRDefault="00351930" w:rsidP="00351930">
      <w:pPr>
        <w:rPr>
          <w:b/>
          <w:bCs/>
          <w:sz w:val="22"/>
          <w:szCs w:val="22"/>
        </w:rPr>
      </w:pPr>
    </w:p>
    <w:p w:rsidR="00351930" w:rsidRPr="00351930" w:rsidRDefault="00351930" w:rsidP="00351930">
      <w:pPr>
        <w:tabs>
          <w:tab w:val="left" w:pos="284"/>
        </w:tabs>
        <w:rPr>
          <w:b/>
          <w:bCs/>
          <w:sz w:val="22"/>
          <w:szCs w:val="22"/>
        </w:rPr>
      </w:pPr>
      <w:r w:rsidRPr="00351930">
        <w:rPr>
          <w:b/>
          <w:bCs/>
          <w:sz w:val="22"/>
          <w:szCs w:val="22"/>
        </w:rPr>
        <w:t>2.</w:t>
      </w:r>
      <w:r w:rsidRPr="00351930">
        <w:rPr>
          <w:b/>
          <w:bCs/>
          <w:sz w:val="22"/>
          <w:szCs w:val="22"/>
        </w:rPr>
        <w:tab/>
      </w:r>
      <w:proofErr w:type="spellStart"/>
      <w:r w:rsidRPr="00351930">
        <w:rPr>
          <w:b/>
          <w:bCs/>
          <w:sz w:val="22"/>
          <w:szCs w:val="22"/>
        </w:rPr>
        <w:t>A-Faktor</w:t>
      </w:r>
      <w:proofErr w:type="spellEnd"/>
    </w:p>
    <w:p w:rsidR="00351930" w:rsidRPr="00351930" w:rsidRDefault="00351930" w:rsidP="00351930">
      <w:pPr>
        <w:rPr>
          <w:bCs/>
          <w:sz w:val="22"/>
          <w:szCs w:val="22"/>
        </w:rPr>
      </w:pPr>
    </w:p>
    <w:p w:rsidR="00351930" w:rsidRPr="00351930" w:rsidRDefault="00351930" w:rsidP="00351930">
      <w:pPr>
        <w:rPr>
          <w:bCs/>
          <w:sz w:val="22"/>
          <w:szCs w:val="22"/>
        </w:rPr>
      </w:pPr>
      <w:proofErr w:type="spellStart"/>
      <w:r w:rsidRPr="00351930">
        <w:rPr>
          <w:bCs/>
          <w:sz w:val="22"/>
          <w:szCs w:val="22"/>
        </w:rPr>
        <w:t>A-Faktor</w:t>
      </w:r>
      <w:proofErr w:type="spellEnd"/>
      <w:r w:rsidRPr="00351930">
        <w:rPr>
          <w:bCs/>
          <w:sz w:val="22"/>
          <w:szCs w:val="22"/>
        </w:rPr>
        <w:t xml:space="preserve"> </w:t>
      </w:r>
      <w:r w:rsidRPr="00351930">
        <w:rPr>
          <w:b/>
          <w:bCs/>
          <w:sz w:val="22"/>
          <w:szCs w:val="22"/>
        </w:rPr>
        <w:t>március 31-ei</w:t>
      </w:r>
      <w:r w:rsidRPr="00351930">
        <w:rPr>
          <w:bCs/>
          <w:sz w:val="22"/>
          <w:szCs w:val="22"/>
        </w:rPr>
        <w:t xml:space="preserve"> fordulónappal zárja pénzügyi kimutatásait.</w:t>
      </w:r>
    </w:p>
    <w:p w:rsidR="00351930" w:rsidRPr="00351930" w:rsidRDefault="00351930" w:rsidP="00351930">
      <w:pPr>
        <w:rPr>
          <w:bCs/>
          <w:sz w:val="22"/>
          <w:szCs w:val="22"/>
        </w:rPr>
      </w:pPr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b/>
          <w:sz w:val="22"/>
          <w:szCs w:val="22"/>
          <w:lang w:eastAsia="hu-HU"/>
        </w:rPr>
      </w:pPr>
      <w:proofErr w:type="gramStart"/>
      <w:r w:rsidRPr="00351930">
        <w:rPr>
          <w:rFonts w:cs="NewsGothicBT-Light"/>
          <w:b/>
          <w:sz w:val="22"/>
          <w:szCs w:val="22"/>
          <w:lang w:eastAsia="hu-HU"/>
        </w:rPr>
        <w:t>A</w:t>
      </w:r>
      <w:proofErr w:type="gramEnd"/>
      <w:r w:rsidRPr="00351930">
        <w:rPr>
          <w:rFonts w:cs="NewsGothicBT-Light"/>
          <w:b/>
          <w:sz w:val="22"/>
          <w:szCs w:val="22"/>
          <w:lang w:eastAsia="hu-HU"/>
        </w:rPr>
        <w:t xml:space="preserve"> eset) (5)</w:t>
      </w:r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proofErr w:type="spellStart"/>
      <w:r w:rsidRPr="00351930">
        <w:rPr>
          <w:rFonts w:cs="NewsGothicBT-Light"/>
          <w:sz w:val="22"/>
          <w:szCs w:val="22"/>
          <w:lang w:eastAsia="hu-HU"/>
        </w:rPr>
        <w:t>A-Faktor</w:t>
      </w:r>
      <w:proofErr w:type="spellEnd"/>
      <w:r w:rsidRPr="00351930">
        <w:rPr>
          <w:rFonts w:cs="NewsGothicBT-Light"/>
          <w:sz w:val="22"/>
          <w:szCs w:val="22"/>
          <w:lang w:eastAsia="hu-HU"/>
        </w:rPr>
        <w:t xml:space="preserve"> 80 000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  <w:r w:rsidRPr="00351930">
        <w:rPr>
          <w:rFonts w:cs="NewsGothicBT-Light"/>
          <w:sz w:val="22"/>
          <w:szCs w:val="22"/>
          <w:lang w:eastAsia="hu-HU"/>
        </w:rPr>
        <w:t xml:space="preserve"> értékben vásárolt termelő berendezést 2010.április 1-jén gyógyszerek gyártásához és csomagolásához. A berendezésnek a becsült maradványértéke 5 000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  <w:r w:rsidRPr="00351930">
        <w:rPr>
          <w:rFonts w:cs="NewsGothicBT-Light"/>
          <w:sz w:val="22"/>
          <w:szCs w:val="22"/>
          <w:lang w:eastAsia="hu-HU"/>
        </w:rPr>
        <w:t xml:space="preserve">, hasznos élettartama 5 év. Lineáris leírást alkalmaz a vállalkozás. 2012. március 31-én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A-Faktor</w:t>
      </w:r>
      <w:proofErr w:type="spellEnd"/>
      <w:r w:rsidRPr="00351930">
        <w:rPr>
          <w:rFonts w:cs="NewsGothicBT-Light"/>
          <w:sz w:val="22"/>
          <w:szCs w:val="22"/>
          <w:lang w:eastAsia="hu-HU"/>
        </w:rPr>
        <w:t xml:space="preserve"> legjelentősebb ügyfele értesítette a vállalkozást, hogy a jövőben nem fog tőle rendelni. Már ezen értesülést megelőzően is nehezen találtak megrendelést a gépsorra. A következő 3 évre az alábbi nettó cash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flowkat</w:t>
      </w:r>
      <w:proofErr w:type="spellEnd"/>
      <w:r w:rsidRPr="00351930">
        <w:rPr>
          <w:rFonts w:cs="NewsGothicBT-Light"/>
          <w:sz w:val="22"/>
          <w:szCs w:val="22"/>
          <w:lang w:eastAsia="hu-HU"/>
        </w:rPr>
        <w:t xml:space="preserve"> becsülték:</w:t>
      </w:r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r w:rsidRPr="00351930">
        <w:rPr>
          <w:rFonts w:cs="NewsGothicBT-Light"/>
          <w:sz w:val="22"/>
          <w:szCs w:val="22"/>
          <w:lang w:eastAsia="hu-HU"/>
        </w:rPr>
        <w:t xml:space="preserve">2013. március 31. </w:t>
      </w:r>
      <w:r w:rsidRPr="00351930">
        <w:rPr>
          <w:rFonts w:cs="NewsGothicBT-Light"/>
          <w:sz w:val="22"/>
          <w:szCs w:val="22"/>
          <w:lang w:eastAsia="hu-HU"/>
        </w:rPr>
        <w:tab/>
        <w:t xml:space="preserve">22 000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r w:rsidRPr="00351930">
        <w:rPr>
          <w:rFonts w:cs="NewsGothicBT-Light"/>
          <w:sz w:val="22"/>
          <w:szCs w:val="22"/>
          <w:lang w:eastAsia="hu-HU"/>
        </w:rPr>
        <w:t xml:space="preserve">2014. március 31. </w:t>
      </w:r>
      <w:r w:rsidRPr="00351930">
        <w:rPr>
          <w:rFonts w:cs="NewsGothicBT-Light"/>
          <w:sz w:val="22"/>
          <w:szCs w:val="22"/>
          <w:lang w:eastAsia="hu-HU"/>
        </w:rPr>
        <w:tab/>
        <w:t xml:space="preserve">18 000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r w:rsidRPr="00351930">
        <w:rPr>
          <w:rFonts w:cs="NewsGothicBT-Light"/>
          <w:sz w:val="22"/>
          <w:szCs w:val="22"/>
          <w:lang w:eastAsia="hu-HU"/>
        </w:rPr>
        <w:t xml:space="preserve">2015. március 31. </w:t>
      </w:r>
      <w:r w:rsidRPr="00351930">
        <w:rPr>
          <w:rFonts w:cs="NewsGothicBT-Light"/>
          <w:sz w:val="22"/>
          <w:szCs w:val="22"/>
          <w:lang w:eastAsia="hu-HU"/>
        </w:rPr>
        <w:tab/>
        <w:t xml:space="preserve">17 000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r w:rsidRPr="00351930">
        <w:rPr>
          <w:rFonts w:cs="NewsGothicBT-Light"/>
          <w:sz w:val="22"/>
          <w:szCs w:val="22"/>
          <w:lang w:eastAsia="hu-HU"/>
        </w:rPr>
        <w:t xml:space="preserve">Úgy ítélik meg, hogy a berendezés az eredeti becsült maradványértékén értékesíthető 2015 március 31-én. </w:t>
      </w:r>
      <w:proofErr w:type="gramStart"/>
      <w:r w:rsidRPr="00351930">
        <w:rPr>
          <w:rFonts w:cs="NewsGothicBT-Light"/>
          <w:sz w:val="22"/>
          <w:szCs w:val="22"/>
          <w:lang w:eastAsia="hu-HU"/>
        </w:rPr>
        <w:t>A</w:t>
      </w:r>
      <w:proofErr w:type="gramEnd"/>
      <w:r w:rsidRPr="00351930">
        <w:rPr>
          <w:rFonts w:cs="NewsGothicBT-Light"/>
          <w:sz w:val="22"/>
          <w:szCs w:val="22"/>
          <w:lang w:eastAsia="hu-HU"/>
        </w:rPr>
        <w:t xml:space="preserve"> diszkontáláshoz használatos kamatlába legyen 10 %.</w:t>
      </w:r>
    </w:p>
    <w:p w:rsidR="00351930" w:rsidRDefault="00351930" w:rsidP="00351930">
      <w:pPr>
        <w:autoSpaceDE w:val="0"/>
        <w:autoSpaceDN w:val="0"/>
        <w:adjustRightInd w:val="0"/>
        <w:jc w:val="both"/>
        <w:rPr>
          <w:rFonts w:cs="NewsGothicBT-Bold"/>
          <w:b/>
          <w:bCs/>
          <w:sz w:val="22"/>
          <w:szCs w:val="22"/>
          <w:lang w:eastAsia="hu-HU"/>
        </w:rPr>
      </w:pPr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Bold"/>
          <w:b/>
          <w:bCs/>
          <w:sz w:val="22"/>
          <w:szCs w:val="22"/>
          <w:lang w:eastAsia="hu-HU"/>
        </w:rPr>
      </w:pPr>
      <w:r w:rsidRPr="00351930">
        <w:rPr>
          <w:rFonts w:cs="NewsGothicBT-Bold"/>
          <w:b/>
          <w:bCs/>
          <w:sz w:val="22"/>
          <w:szCs w:val="22"/>
          <w:lang w:eastAsia="hu-HU"/>
        </w:rPr>
        <w:t>B eset) (10)</w:t>
      </w:r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Bold"/>
          <w:bCs/>
          <w:sz w:val="22"/>
          <w:szCs w:val="22"/>
          <w:lang w:eastAsia="hu-HU"/>
        </w:rPr>
      </w:pPr>
      <w:proofErr w:type="spellStart"/>
      <w:r w:rsidRPr="00351930">
        <w:rPr>
          <w:rFonts w:cs="NewsGothicBT-Bold"/>
          <w:bCs/>
          <w:sz w:val="22"/>
          <w:szCs w:val="22"/>
          <w:lang w:eastAsia="hu-HU"/>
        </w:rPr>
        <w:t>A-Faktornak</w:t>
      </w:r>
      <w:proofErr w:type="spellEnd"/>
      <w:r w:rsidRPr="00351930">
        <w:rPr>
          <w:rFonts w:cs="NewsGothicBT-Bold"/>
          <w:bCs/>
          <w:sz w:val="22"/>
          <w:szCs w:val="22"/>
          <w:lang w:eastAsia="hu-HU"/>
        </w:rPr>
        <w:t xml:space="preserve"> van egy 100%-os leányvállalata, </w:t>
      </w:r>
      <w:proofErr w:type="spellStart"/>
      <w:r w:rsidRPr="00351930">
        <w:rPr>
          <w:rFonts w:cs="NewsGothicBT-Bold"/>
          <w:bCs/>
          <w:sz w:val="22"/>
          <w:szCs w:val="22"/>
          <w:lang w:eastAsia="hu-HU"/>
        </w:rPr>
        <w:t>X-Faktor</w:t>
      </w:r>
      <w:proofErr w:type="spellEnd"/>
      <w:r w:rsidRPr="00351930">
        <w:rPr>
          <w:rFonts w:cs="NewsGothicBT-Bold"/>
          <w:bCs/>
          <w:sz w:val="22"/>
          <w:szCs w:val="22"/>
          <w:lang w:eastAsia="hu-HU"/>
        </w:rPr>
        <w:t xml:space="preserve">, amely pénztermelő egységnek minősül. 2012.március 31-én egy gázrobbanás következtében </w:t>
      </w:r>
      <w:proofErr w:type="spellStart"/>
      <w:r w:rsidRPr="00351930">
        <w:rPr>
          <w:rFonts w:cs="NewsGothicBT-Bold"/>
          <w:bCs/>
          <w:sz w:val="22"/>
          <w:szCs w:val="22"/>
          <w:lang w:eastAsia="hu-HU"/>
        </w:rPr>
        <w:t>X-Faktor</w:t>
      </w:r>
      <w:proofErr w:type="spellEnd"/>
      <w:r w:rsidRPr="00351930">
        <w:rPr>
          <w:rFonts w:cs="NewsGothicBT-Bold"/>
          <w:bCs/>
          <w:sz w:val="22"/>
          <w:szCs w:val="22"/>
          <w:lang w:eastAsia="hu-HU"/>
        </w:rPr>
        <w:t xml:space="preserve"> gyárüzeme jelentősen károsodott. Az üzemi balesetet megelőzően </w:t>
      </w:r>
      <w:proofErr w:type="spellStart"/>
      <w:r w:rsidRPr="00351930">
        <w:rPr>
          <w:rFonts w:cs="NewsGothicBT-Bold"/>
          <w:bCs/>
          <w:sz w:val="22"/>
          <w:szCs w:val="22"/>
          <w:lang w:eastAsia="hu-HU"/>
        </w:rPr>
        <w:t>X-Faktor</w:t>
      </w:r>
      <w:proofErr w:type="spellEnd"/>
      <w:r w:rsidRPr="00351930">
        <w:rPr>
          <w:rFonts w:cs="NewsGothicBT-Bold"/>
          <w:bCs/>
          <w:sz w:val="22"/>
          <w:szCs w:val="22"/>
          <w:lang w:eastAsia="hu-HU"/>
        </w:rPr>
        <w:t xml:space="preserve"> az alábbi eszközökkel rendelkezett: </w:t>
      </w:r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r w:rsidRPr="00351930">
        <w:rPr>
          <w:rFonts w:cs="NewsGothicBT-Light"/>
          <w:sz w:val="22"/>
          <w:szCs w:val="22"/>
          <w:lang w:eastAsia="hu-HU"/>
        </w:rPr>
        <w:t xml:space="preserve">Goodwill </w:t>
      </w:r>
      <w:r w:rsidRPr="00351930">
        <w:rPr>
          <w:rFonts w:cs="NewsGothicBT-Light"/>
          <w:sz w:val="22"/>
          <w:szCs w:val="22"/>
          <w:lang w:eastAsia="hu-HU"/>
        </w:rPr>
        <w:tab/>
      </w:r>
      <w:r w:rsidRPr="00351930">
        <w:rPr>
          <w:rFonts w:cs="NewsGothicBT-Light"/>
          <w:sz w:val="22"/>
          <w:szCs w:val="22"/>
          <w:lang w:eastAsia="hu-HU"/>
        </w:rPr>
        <w:tab/>
        <w:t xml:space="preserve">18 000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r w:rsidRPr="00351930">
        <w:rPr>
          <w:rFonts w:cs="NewsGothicBT-Light"/>
          <w:sz w:val="22"/>
          <w:szCs w:val="22"/>
          <w:lang w:eastAsia="hu-HU"/>
        </w:rPr>
        <w:t xml:space="preserve">Gyártási minta </w:t>
      </w:r>
      <w:r w:rsidRPr="00351930">
        <w:rPr>
          <w:rFonts w:cs="NewsGothicBT-Light"/>
          <w:sz w:val="22"/>
          <w:szCs w:val="22"/>
          <w:lang w:eastAsia="hu-HU"/>
        </w:rPr>
        <w:tab/>
      </w:r>
      <w:r w:rsidRPr="00351930">
        <w:rPr>
          <w:rFonts w:cs="NewsGothicBT-Light"/>
          <w:sz w:val="22"/>
          <w:szCs w:val="22"/>
          <w:lang w:eastAsia="hu-HU"/>
        </w:rPr>
        <w:tab/>
        <w:t xml:space="preserve">12 000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r w:rsidRPr="00351930">
        <w:rPr>
          <w:rFonts w:cs="NewsGothicBT-Light"/>
          <w:sz w:val="22"/>
          <w:szCs w:val="22"/>
          <w:lang w:eastAsia="hu-HU"/>
        </w:rPr>
        <w:t>Üzem épület</w:t>
      </w:r>
      <w:r w:rsidRPr="00351930">
        <w:rPr>
          <w:rFonts w:cs="NewsGothicBT-Light"/>
          <w:sz w:val="22"/>
          <w:szCs w:val="22"/>
          <w:lang w:eastAsia="hu-HU"/>
        </w:rPr>
        <w:tab/>
      </w:r>
      <w:r w:rsidRPr="00351930">
        <w:rPr>
          <w:rFonts w:cs="NewsGothicBT-Light"/>
          <w:sz w:val="22"/>
          <w:szCs w:val="22"/>
          <w:lang w:eastAsia="hu-HU"/>
        </w:rPr>
        <w:tab/>
        <w:t xml:space="preserve">40 000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r w:rsidRPr="00351930">
        <w:rPr>
          <w:rFonts w:cs="NewsGothicBT-Light"/>
          <w:sz w:val="22"/>
          <w:szCs w:val="22"/>
          <w:lang w:eastAsia="hu-HU"/>
        </w:rPr>
        <w:t>Gyártelep</w:t>
      </w:r>
      <w:r w:rsidRPr="00351930">
        <w:rPr>
          <w:rFonts w:cs="NewsGothicBT-Light"/>
          <w:sz w:val="22"/>
          <w:szCs w:val="22"/>
          <w:lang w:eastAsia="hu-HU"/>
        </w:rPr>
        <w:tab/>
      </w:r>
      <w:r w:rsidRPr="00351930">
        <w:rPr>
          <w:rFonts w:cs="NewsGothicBT-Light"/>
          <w:sz w:val="22"/>
          <w:szCs w:val="22"/>
          <w:lang w:eastAsia="hu-HU"/>
        </w:rPr>
        <w:tab/>
        <w:t xml:space="preserve">35 000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r w:rsidRPr="00351930">
        <w:rPr>
          <w:rFonts w:cs="NewsGothicBT-Light"/>
          <w:sz w:val="22"/>
          <w:szCs w:val="22"/>
          <w:lang w:eastAsia="hu-HU"/>
        </w:rPr>
        <w:t xml:space="preserve">Követelések </w:t>
      </w:r>
      <w:r w:rsidRPr="00351930">
        <w:rPr>
          <w:rFonts w:cs="NewsGothicBT-Light"/>
          <w:sz w:val="22"/>
          <w:szCs w:val="22"/>
          <w:lang w:eastAsia="hu-HU"/>
        </w:rPr>
        <w:tab/>
      </w:r>
      <w:r w:rsidRPr="00351930">
        <w:rPr>
          <w:rFonts w:cs="NewsGothicBT-Light"/>
          <w:sz w:val="22"/>
          <w:szCs w:val="22"/>
          <w:lang w:eastAsia="hu-HU"/>
        </w:rPr>
        <w:tab/>
        <w:t xml:space="preserve">10 000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proofErr w:type="gramStart"/>
      <w:r w:rsidRPr="00351930">
        <w:rPr>
          <w:rFonts w:cs="NewsGothicBT-Light"/>
          <w:sz w:val="22"/>
          <w:szCs w:val="22"/>
          <w:lang w:eastAsia="hu-HU"/>
        </w:rPr>
        <w:t>Pénzeszköz</w:t>
      </w:r>
      <w:r w:rsidRPr="00351930">
        <w:rPr>
          <w:rFonts w:cs="NewsGothicBT-Light"/>
          <w:sz w:val="22"/>
          <w:szCs w:val="22"/>
          <w:lang w:eastAsia="hu-HU"/>
        </w:rPr>
        <w:tab/>
        <w:t xml:space="preserve"> </w:t>
      </w:r>
      <w:r w:rsidRPr="00351930">
        <w:rPr>
          <w:rFonts w:cs="NewsGothicBT-Light"/>
          <w:sz w:val="22"/>
          <w:szCs w:val="22"/>
          <w:lang w:eastAsia="hu-HU"/>
        </w:rPr>
        <w:tab/>
        <w:t xml:space="preserve">  5</w:t>
      </w:r>
      <w:proofErr w:type="gramEnd"/>
      <w:r w:rsidRPr="00351930">
        <w:rPr>
          <w:rFonts w:cs="NewsGothicBT-Light"/>
          <w:sz w:val="22"/>
          <w:szCs w:val="22"/>
          <w:lang w:eastAsia="hu-HU"/>
        </w:rPr>
        <w:t xml:space="preserve">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  <w:r w:rsidRPr="00351930">
        <w:rPr>
          <w:rFonts w:cs="NewsGothicBT-Light"/>
          <w:sz w:val="22"/>
          <w:szCs w:val="22"/>
          <w:lang w:eastAsia="hu-HU"/>
        </w:rPr>
        <w:t>Összesen</w:t>
      </w:r>
      <w:r w:rsidRPr="00351930">
        <w:rPr>
          <w:rFonts w:cs="NewsGothicBT-Light"/>
          <w:sz w:val="22"/>
          <w:szCs w:val="22"/>
          <w:lang w:eastAsia="hu-HU"/>
        </w:rPr>
        <w:tab/>
      </w:r>
      <w:r w:rsidRPr="00351930">
        <w:rPr>
          <w:rFonts w:cs="NewsGothicBT-Light"/>
          <w:sz w:val="22"/>
          <w:szCs w:val="22"/>
          <w:lang w:eastAsia="hu-HU"/>
        </w:rPr>
        <w:tab/>
        <w:t xml:space="preserve">120 000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</w:p>
    <w:p w:rsidR="00351930" w:rsidRPr="00351930" w:rsidRDefault="00351930" w:rsidP="00351930">
      <w:pPr>
        <w:autoSpaceDE w:val="0"/>
        <w:autoSpaceDN w:val="0"/>
        <w:adjustRightInd w:val="0"/>
        <w:jc w:val="both"/>
        <w:rPr>
          <w:rFonts w:cs="NewsGothicBT-Light"/>
          <w:sz w:val="22"/>
          <w:szCs w:val="22"/>
          <w:lang w:eastAsia="hu-HU"/>
        </w:rPr>
      </w:pPr>
    </w:p>
    <w:p w:rsidR="00351930" w:rsidRDefault="00351930" w:rsidP="00351930">
      <w:pPr>
        <w:autoSpaceDE w:val="0"/>
        <w:autoSpaceDN w:val="0"/>
        <w:adjustRightInd w:val="0"/>
        <w:jc w:val="both"/>
        <w:rPr>
          <w:rFonts w:cs="NewsGothicBT-Demi"/>
          <w:b/>
          <w:sz w:val="22"/>
          <w:szCs w:val="22"/>
          <w:lang w:eastAsia="hu-HU"/>
        </w:rPr>
      </w:pPr>
      <w:r w:rsidRPr="00351930">
        <w:rPr>
          <w:rFonts w:cs="NewsGothicBT-Light"/>
          <w:sz w:val="22"/>
          <w:szCs w:val="22"/>
          <w:lang w:eastAsia="hu-HU"/>
        </w:rPr>
        <w:t xml:space="preserve">A baleset következtében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X-Faktor</w:t>
      </w:r>
      <w:proofErr w:type="spellEnd"/>
      <w:r w:rsidRPr="00351930">
        <w:rPr>
          <w:rFonts w:cs="NewsGothicBT-Light"/>
          <w:sz w:val="22"/>
          <w:szCs w:val="22"/>
          <w:lang w:eastAsia="hu-HU"/>
        </w:rPr>
        <w:t xml:space="preserve"> megtérülő értéke 67 000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  <w:r w:rsidRPr="00351930">
        <w:rPr>
          <w:rFonts w:cs="NewsGothicBT-Light"/>
          <w:sz w:val="22"/>
          <w:szCs w:val="22"/>
          <w:lang w:eastAsia="hu-HU"/>
        </w:rPr>
        <w:t xml:space="preserve">. A robbanás következtében az egyik berendezés teljesen használhatatlanná vált, könyv szerinti értéke 5 000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  <w:r w:rsidRPr="00351930">
        <w:rPr>
          <w:rFonts w:cs="NewsGothicBT-Light"/>
          <w:sz w:val="22"/>
          <w:szCs w:val="22"/>
          <w:lang w:eastAsia="hu-HU"/>
        </w:rPr>
        <w:t xml:space="preserve">.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X-Faktor</w:t>
      </w:r>
      <w:proofErr w:type="spellEnd"/>
      <w:r w:rsidRPr="00351930">
        <w:rPr>
          <w:rFonts w:cs="NewsGothicBT-Light"/>
          <w:sz w:val="22"/>
          <w:szCs w:val="22"/>
          <w:lang w:eastAsia="hu-HU"/>
        </w:rPr>
        <w:t xml:space="preserve"> kapott egy ajánlatot a gyártási minta megvásárlására 10 000 </w:t>
      </w:r>
      <w:proofErr w:type="spellStart"/>
      <w:r w:rsidRPr="00351930">
        <w:rPr>
          <w:rFonts w:cs="NewsGothicBT-Light"/>
          <w:sz w:val="22"/>
          <w:szCs w:val="22"/>
          <w:lang w:eastAsia="hu-HU"/>
        </w:rPr>
        <w:t>eFt</w:t>
      </w:r>
      <w:proofErr w:type="spellEnd"/>
      <w:r w:rsidRPr="00351930">
        <w:rPr>
          <w:rFonts w:cs="NewsGothicBT-Light"/>
          <w:sz w:val="22"/>
          <w:szCs w:val="22"/>
          <w:lang w:eastAsia="hu-HU"/>
        </w:rPr>
        <w:t xml:space="preserve"> összegért.</w:t>
      </w:r>
      <w:r w:rsidRPr="00351930">
        <w:rPr>
          <w:rFonts w:cs="NewsGothicBT-Demi"/>
          <w:b/>
          <w:sz w:val="22"/>
          <w:szCs w:val="22"/>
          <w:lang w:eastAsia="hu-HU"/>
        </w:rPr>
        <w:t xml:space="preserve"> </w:t>
      </w:r>
    </w:p>
    <w:p w:rsidR="00351930" w:rsidRDefault="00351930" w:rsidP="00351930">
      <w:pPr>
        <w:autoSpaceDE w:val="0"/>
        <w:autoSpaceDN w:val="0"/>
        <w:adjustRightInd w:val="0"/>
        <w:rPr>
          <w:rFonts w:cs="NewsGothicBT-Demi"/>
          <w:b/>
          <w:sz w:val="22"/>
          <w:szCs w:val="22"/>
          <w:lang w:eastAsia="hu-HU"/>
        </w:rPr>
      </w:pPr>
    </w:p>
    <w:p w:rsidR="00351930" w:rsidRPr="00351930" w:rsidRDefault="00351930" w:rsidP="00351930">
      <w:pPr>
        <w:autoSpaceDE w:val="0"/>
        <w:autoSpaceDN w:val="0"/>
        <w:adjustRightInd w:val="0"/>
        <w:rPr>
          <w:rFonts w:cs="NewsGothicBT-Demi"/>
          <w:b/>
          <w:sz w:val="22"/>
          <w:szCs w:val="22"/>
          <w:lang w:eastAsia="hu-HU"/>
        </w:rPr>
      </w:pPr>
      <w:r w:rsidRPr="00351930">
        <w:rPr>
          <w:rFonts w:cs="NewsGothicBT-Demi"/>
          <w:b/>
          <w:sz w:val="22"/>
          <w:szCs w:val="22"/>
          <w:lang w:eastAsia="hu-HU"/>
        </w:rPr>
        <w:t>C eset) (10)</w:t>
      </w:r>
    </w:p>
    <w:p w:rsidR="00351930" w:rsidRPr="00351930" w:rsidRDefault="00351930" w:rsidP="00351930">
      <w:pPr>
        <w:jc w:val="both"/>
        <w:rPr>
          <w:b/>
          <w:bCs/>
          <w:sz w:val="22"/>
          <w:szCs w:val="22"/>
        </w:rPr>
      </w:pPr>
      <w:proofErr w:type="spellStart"/>
      <w:r w:rsidRPr="00351930">
        <w:rPr>
          <w:sz w:val="22"/>
          <w:szCs w:val="22"/>
        </w:rPr>
        <w:t>A-Faktor</w:t>
      </w:r>
      <w:proofErr w:type="spellEnd"/>
      <w:r w:rsidRPr="00351930">
        <w:rPr>
          <w:sz w:val="22"/>
          <w:szCs w:val="22"/>
        </w:rPr>
        <w:t xml:space="preserve"> kölcsönt folyósított 2011. </w:t>
      </w:r>
      <w:r w:rsidR="000B6417">
        <w:rPr>
          <w:sz w:val="22"/>
          <w:szCs w:val="22"/>
        </w:rPr>
        <w:t>április</w:t>
      </w:r>
      <w:r w:rsidRPr="00351930">
        <w:rPr>
          <w:sz w:val="22"/>
          <w:szCs w:val="22"/>
        </w:rPr>
        <w:t xml:space="preserve"> 1-jén Vektornak.</w:t>
      </w:r>
      <w:r w:rsidR="000B6417">
        <w:rPr>
          <w:sz w:val="22"/>
          <w:szCs w:val="22"/>
        </w:rPr>
        <w:t xml:space="preserve"> </w:t>
      </w:r>
      <w:r w:rsidR="000B6417" w:rsidRPr="000B6417">
        <w:rPr>
          <w:b/>
          <w:sz w:val="22"/>
          <w:szCs w:val="22"/>
        </w:rPr>
        <w:t>(Ne felejtse el, hogy az üzleti év március 31-el zár!)</w:t>
      </w:r>
      <w:r w:rsidRPr="00351930">
        <w:rPr>
          <w:sz w:val="22"/>
          <w:szCs w:val="22"/>
        </w:rPr>
        <w:t xml:space="preserve"> </w:t>
      </w:r>
      <w:proofErr w:type="gramStart"/>
      <w:r w:rsidRPr="00351930">
        <w:rPr>
          <w:sz w:val="22"/>
          <w:szCs w:val="22"/>
        </w:rPr>
        <w:t>A</w:t>
      </w:r>
      <w:proofErr w:type="gramEnd"/>
      <w:r w:rsidRPr="00351930">
        <w:rPr>
          <w:sz w:val="22"/>
          <w:szCs w:val="22"/>
        </w:rPr>
        <w:t xml:space="preserve"> kölcsön összege 30 </w:t>
      </w:r>
      <w:proofErr w:type="spellStart"/>
      <w:r w:rsidRPr="00351930">
        <w:rPr>
          <w:sz w:val="22"/>
          <w:szCs w:val="22"/>
        </w:rPr>
        <w:t>MFt</w:t>
      </w:r>
      <w:proofErr w:type="spellEnd"/>
      <w:r w:rsidRPr="00351930">
        <w:rPr>
          <w:sz w:val="22"/>
          <w:szCs w:val="22"/>
        </w:rPr>
        <w:t xml:space="preserve"> volt, amelyre 8 %-os kamatban állapodtak meg (ez az effektív kamat is). A hitel 5 éves lejáratú. A kamatot és a tőketörlesztést (egyenlő részletekben, évi 6 </w:t>
      </w:r>
      <w:proofErr w:type="spellStart"/>
      <w:r w:rsidRPr="00351930">
        <w:rPr>
          <w:sz w:val="22"/>
          <w:szCs w:val="22"/>
        </w:rPr>
        <w:t>MFt-ot</w:t>
      </w:r>
      <w:proofErr w:type="spellEnd"/>
      <w:r w:rsidRPr="00351930">
        <w:rPr>
          <w:sz w:val="22"/>
          <w:szCs w:val="22"/>
        </w:rPr>
        <w:t xml:space="preserve">) évente december 31-én kell utalni. Vektor 2011-ben rendben teljesítette a kamat- és tőkefizetési kötelezettségét. 2012-ben Vektor jelezte, hogy pénzügyi nehézségei miatt fennmaradó tőketartozását nem tudja teljes egészében kifizetni. A felszámolás megkezdődött és a felszámoló jelezte, hogy hátralévő tőke negyedét tudja várhatóan átutalni, emellett mindösszesen 2 </w:t>
      </w:r>
      <w:proofErr w:type="spellStart"/>
      <w:r w:rsidRPr="00351930">
        <w:rPr>
          <w:sz w:val="22"/>
          <w:szCs w:val="22"/>
        </w:rPr>
        <w:t>MFt-nyi</w:t>
      </w:r>
      <w:proofErr w:type="spellEnd"/>
      <w:r w:rsidRPr="00351930">
        <w:rPr>
          <w:sz w:val="22"/>
          <w:szCs w:val="22"/>
        </w:rPr>
        <w:t xml:space="preserve"> kamatot. A fizetésre várhatóan 2015-ben kerül sor (feltételezheti, hogy év végén). </w:t>
      </w:r>
    </w:p>
    <w:p w:rsidR="00351930" w:rsidRDefault="00351930" w:rsidP="00351930">
      <w:pPr>
        <w:autoSpaceDE w:val="0"/>
        <w:autoSpaceDN w:val="0"/>
        <w:adjustRightInd w:val="0"/>
        <w:jc w:val="both"/>
        <w:rPr>
          <w:rFonts w:asciiTheme="minorHAnsi" w:hAnsiTheme="minorHAnsi" w:cs="NewsGothicBT-Bold"/>
          <w:b/>
          <w:bCs/>
          <w:sz w:val="22"/>
          <w:szCs w:val="22"/>
          <w:lang w:eastAsia="hu-HU"/>
        </w:rPr>
      </w:pPr>
    </w:p>
    <w:p w:rsidR="00351930" w:rsidRDefault="00351930" w:rsidP="00351930">
      <w:pPr>
        <w:autoSpaceDE w:val="0"/>
        <w:autoSpaceDN w:val="0"/>
        <w:adjustRightInd w:val="0"/>
        <w:jc w:val="both"/>
        <w:rPr>
          <w:rFonts w:asciiTheme="minorHAnsi" w:hAnsiTheme="minorHAnsi" w:cs="NewsGothicBT-Bold"/>
          <w:b/>
          <w:bCs/>
          <w:sz w:val="22"/>
          <w:szCs w:val="22"/>
          <w:lang w:eastAsia="hu-HU"/>
        </w:rPr>
      </w:pPr>
      <w:r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>Feladat:</w:t>
      </w:r>
    </w:p>
    <w:p w:rsidR="00351930" w:rsidRDefault="00351930" w:rsidP="00351930">
      <w:pPr>
        <w:jc w:val="both"/>
        <w:rPr>
          <w:rFonts w:asciiTheme="minorHAnsi" w:hAnsiTheme="minorHAnsi" w:cs="NewsGothicBT-Bold"/>
          <w:b/>
          <w:bCs/>
          <w:sz w:val="22"/>
          <w:szCs w:val="22"/>
          <w:lang w:eastAsia="hu-HU"/>
        </w:rPr>
      </w:pPr>
      <w:r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 xml:space="preserve">Számolja ki az eszközök könyv szerinti értékét </w:t>
      </w:r>
      <w:proofErr w:type="gramStart"/>
      <w:r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>A</w:t>
      </w:r>
      <w:proofErr w:type="gramEnd"/>
      <w:r>
        <w:rPr>
          <w:rFonts w:asciiTheme="minorHAnsi" w:hAnsiTheme="minorHAnsi" w:cs="NewsGothicBT-Bold"/>
          <w:b/>
          <w:bCs/>
          <w:sz w:val="22"/>
          <w:szCs w:val="22"/>
          <w:lang w:eastAsia="hu-HU"/>
        </w:rPr>
        <w:t xml:space="preserve"> és B esetekben 2012. fordulónapjára, C esetben 2012 és 2013. évek fordulónapjára vonatkozóan, valamint számszerűsítse az elszámolandó értékvesztés összegét!</w:t>
      </w:r>
    </w:p>
    <w:p w:rsidR="004905BC" w:rsidRDefault="004905BC" w:rsidP="004905B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3.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B-Faktor</w:t>
      </w:r>
      <w:proofErr w:type="spellEnd"/>
    </w:p>
    <w:p w:rsidR="004905BC" w:rsidRDefault="004905BC" w:rsidP="004905BC">
      <w:pPr>
        <w:jc w:val="both"/>
        <w:rPr>
          <w:bCs/>
          <w:sz w:val="22"/>
          <w:szCs w:val="22"/>
        </w:rPr>
      </w:pPr>
    </w:p>
    <w:p w:rsidR="004905BC" w:rsidRDefault="004905BC" w:rsidP="004905B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Kivitelezés (10)</w:t>
      </w:r>
    </w:p>
    <w:p w:rsidR="004905BC" w:rsidRDefault="004905BC" w:rsidP="004905BC">
      <w:p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B-Faktor</w:t>
      </w:r>
      <w:proofErr w:type="spellEnd"/>
      <w:r>
        <w:rPr>
          <w:bCs/>
          <w:sz w:val="22"/>
          <w:szCs w:val="22"/>
        </w:rPr>
        <w:t xml:space="preserve"> egy építőiparban tevékenykedő vállalkozás. Számviteli politikája szerint a kivitelezési munkáinak készültségi fokát a felmerült költségek és az összes tervezett költség aránya alapján számolja.</w:t>
      </w:r>
    </w:p>
    <w:p w:rsidR="004905BC" w:rsidRDefault="004905BC" w:rsidP="004905B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egyik munkájának szerződéses árbevétele 230 000 </w:t>
      </w:r>
      <w:proofErr w:type="spellStart"/>
      <w:r>
        <w:rPr>
          <w:bCs/>
          <w:sz w:val="22"/>
          <w:szCs w:val="22"/>
        </w:rPr>
        <w:t>eFt</w:t>
      </w:r>
      <w:proofErr w:type="spellEnd"/>
      <w:r>
        <w:rPr>
          <w:bCs/>
          <w:sz w:val="22"/>
          <w:szCs w:val="22"/>
        </w:rPr>
        <w:t xml:space="preserve">, a projekt megkezdésekor a becsült teljes költsége 200 000 </w:t>
      </w:r>
      <w:proofErr w:type="spellStart"/>
      <w:r>
        <w:rPr>
          <w:bCs/>
          <w:sz w:val="22"/>
          <w:szCs w:val="22"/>
        </w:rPr>
        <w:t>eFt</w:t>
      </w:r>
      <w:proofErr w:type="spellEnd"/>
      <w:r>
        <w:rPr>
          <w:bCs/>
          <w:sz w:val="22"/>
          <w:szCs w:val="22"/>
        </w:rPr>
        <w:t xml:space="preserve">, a projekt két évre tervezett. </w:t>
      </w:r>
    </w:p>
    <w:p w:rsidR="004905BC" w:rsidRDefault="004905BC" w:rsidP="004905BC">
      <w:pPr>
        <w:jc w:val="both"/>
        <w:rPr>
          <w:bCs/>
          <w:sz w:val="22"/>
          <w:szCs w:val="22"/>
        </w:rPr>
      </w:pPr>
    </w:p>
    <w:p w:rsidR="004905BC" w:rsidRDefault="004905BC" w:rsidP="004905B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>
        <w:rPr>
          <w:b/>
          <w:bCs/>
          <w:i/>
          <w:sz w:val="22"/>
          <w:szCs w:val="22"/>
        </w:rPr>
        <w:t>tényleges</w:t>
      </w:r>
      <w:r>
        <w:rPr>
          <w:bCs/>
          <w:sz w:val="22"/>
          <w:szCs w:val="22"/>
        </w:rPr>
        <w:t xml:space="preserve"> adatok a következők:</w:t>
      </w:r>
    </w:p>
    <w:tbl>
      <w:tblPr>
        <w:tblW w:w="0" w:type="auto"/>
        <w:jc w:val="center"/>
        <w:tblLook w:val="04A0"/>
      </w:tblPr>
      <w:tblGrid>
        <w:gridCol w:w="4688"/>
        <w:gridCol w:w="2268"/>
        <w:gridCol w:w="2332"/>
      </w:tblGrid>
      <w:tr w:rsidR="004905BC" w:rsidTr="004905BC">
        <w:trPr>
          <w:jc w:val="center"/>
        </w:trPr>
        <w:tc>
          <w:tcPr>
            <w:tcW w:w="4688" w:type="dxa"/>
          </w:tcPr>
          <w:p w:rsidR="004905BC" w:rsidRDefault="004905B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4905BC" w:rsidRDefault="004905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2011.december 31.</w:t>
            </w:r>
          </w:p>
        </w:tc>
        <w:tc>
          <w:tcPr>
            <w:tcW w:w="2332" w:type="dxa"/>
            <w:hideMark/>
          </w:tcPr>
          <w:p w:rsidR="004905BC" w:rsidRDefault="004905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2012. december 31.</w:t>
            </w:r>
          </w:p>
        </w:tc>
      </w:tr>
      <w:tr w:rsidR="004905BC" w:rsidTr="004905BC">
        <w:trPr>
          <w:jc w:val="center"/>
        </w:trPr>
        <w:tc>
          <w:tcPr>
            <w:tcW w:w="4688" w:type="dxa"/>
            <w:hideMark/>
          </w:tcPr>
          <w:p w:rsidR="004905BC" w:rsidRDefault="004905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Felmerült költség</w:t>
            </w:r>
          </w:p>
        </w:tc>
        <w:tc>
          <w:tcPr>
            <w:tcW w:w="2268" w:type="dxa"/>
            <w:hideMark/>
          </w:tcPr>
          <w:p w:rsidR="004905BC" w:rsidRDefault="004905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2332" w:type="dxa"/>
            <w:hideMark/>
          </w:tcPr>
          <w:p w:rsidR="004905BC" w:rsidRDefault="004905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</w:t>
            </w:r>
          </w:p>
        </w:tc>
      </w:tr>
      <w:tr w:rsidR="004905BC" w:rsidTr="004905BC">
        <w:trPr>
          <w:jc w:val="center"/>
        </w:trPr>
        <w:tc>
          <w:tcPr>
            <w:tcW w:w="4688" w:type="dxa"/>
            <w:hideMark/>
          </w:tcPr>
          <w:p w:rsidR="004905BC" w:rsidRDefault="004905BC" w:rsidP="000B641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Szerződés szerint számlázott összeg</w:t>
            </w:r>
          </w:p>
        </w:tc>
        <w:tc>
          <w:tcPr>
            <w:tcW w:w="2268" w:type="dxa"/>
            <w:hideMark/>
          </w:tcPr>
          <w:p w:rsidR="004905BC" w:rsidRDefault="004905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2332" w:type="dxa"/>
            <w:hideMark/>
          </w:tcPr>
          <w:p w:rsidR="004905BC" w:rsidRDefault="004905B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</w:t>
            </w:r>
          </w:p>
        </w:tc>
      </w:tr>
    </w:tbl>
    <w:p w:rsidR="004905BC" w:rsidRDefault="004905BC" w:rsidP="004905B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szerződés teljesítése 2012. december 31-én befejeződik.</w:t>
      </w:r>
    </w:p>
    <w:p w:rsidR="004905BC" w:rsidRDefault="004905BC" w:rsidP="004905BC">
      <w:pPr>
        <w:jc w:val="both"/>
        <w:rPr>
          <w:bCs/>
          <w:sz w:val="22"/>
          <w:szCs w:val="22"/>
        </w:rPr>
      </w:pPr>
    </w:p>
    <w:p w:rsidR="004905BC" w:rsidRDefault="004905BC" w:rsidP="004905B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Feladat:</w:t>
      </w:r>
    </w:p>
    <w:p w:rsidR="004905BC" w:rsidRDefault="004905BC" w:rsidP="004905BC">
      <w:pPr>
        <w:pStyle w:val="Listaszerbekezds"/>
        <w:numPr>
          <w:ilvl w:val="0"/>
          <w:numId w:val="3"/>
        </w:numPr>
        <w:ind w:left="284" w:hanging="284"/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t xml:space="preserve">Számolja ki 2011 és 2012 évek eredményét! Könyvelje </w:t>
      </w:r>
      <w:proofErr w:type="spellStart"/>
      <w:r w:rsidR="000B6417">
        <w:rPr>
          <w:bCs/>
          <w:sz w:val="22"/>
          <w:szCs w:val="22"/>
          <w:lang w:val="hu-HU"/>
        </w:rPr>
        <w:t>teljeskörűen</w:t>
      </w:r>
      <w:proofErr w:type="spellEnd"/>
      <w:r w:rsidR="000B6417">
        <w:rPr>
          <w:bCs/>
          <w:sz w:val="22"/>
          <w:szCs w:val="22"/>
          <w:lang w:val="hu-HU"/>
        </w:rPr>
        <w:t xml:space="preserve"> </w:t>
      </w:r>
      <w:r>
        <w:rPr>
          <w:bCs/>
          <w:sz w:val="22"/>
          <w:szCs w:val="22"/>
          <w:lang w:val="hu-HU"/>
        </w:rPr>
        <w:t>a</w:t>
      </w:r>
      <w:r w:rsidR="000B6417">
        <w:rPr>
          <w:bCs/>
          <w:sz w:val="22"/>
          <w:szCs w:val="22"/>
          <w:lang w:val="hu-HU"/>
        </w:rPr>
        <w:t>z elszámolandó gazdasági eseményeket 2011 és 2012 évekre vonatkozóan</w:t>
      </w:r>
      <w:r>
        <w:rPr>
          <w:bCs/>
          <w:sz w:val="22"/>
          <w:szCs w:val="22"/>
          <w:lang w:val="hu-HU"/>
        </w:rPr>
        <w:t>!</w:t>
      </w:r>
    </w:p>
    <w:p w:rsidR="004905BC" w:rsidRDefault="004905BC" w:rsidP="004905BC">
      <w:pPr>
        <w:pStyle w:val="Listaszerbekezds"/>
        <w:numPr>
          <w:ilvl w:val="0"/>
          <w:numId w:val="3"/>
        </w:numPr>
        <w:ind w:left="284" w:hanging="284"/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t>Mennyiben változna 2011. év eredménye, ha a munka nyereségessége, eredménye megbízhatóan még nem mérhető, de vesztség nem várható?</w:t>
      </w:r>
    </w:p>
    <w:p w:rsidR="004905BC" w:rsidRDefault="004905BC" w:rsidP="004905BC">
      <w:pPr>
        <w:pStyle w:val="Listaszerbekezds"/>
        <w:numPr>
          <w:ilvl w:val="0"/>
          <w:numId w:val="3"/>
        </w:numPr>
        <w:ind w:left="284" w:hanging="284"/>
        <w:rPr>
          <w:bCs/>
          <w:sz w:val="22"/>
          <w:szCs w:val="22"/>
          <w:lang w:val="hu-HU"/>
        </w:rPr>
      </w:pPr>
      <w:r>
        <w:rPr>
          <w:bCs/>
          <w:sz w:val="22"/>
          <w:szCs w:val="22"/>
          <w:lang w:val="hu-HU"/>
        </w:rPr>
        <w:t xml:space="preserve">Mi a teendő abban az esetben, ha 2011. fordulónapjára vonatkozóan </w:t>
      </w:r>
      <w:proofErr w:type="spellStart"/>
      <w:r>
        <w:rPr>
          <w:bCs/>
          <w:sz w:val="22"/>
          <w:szCs w:val="22"/>
          <w:lang w:val="hu-HU"/>
        </w:rPr>
        <w:t>B-Faktor</w:t>
      </w:r>
      <w:proofErr w:type="spellEnd"/>
      <w:r>
        <w:rPr>
          <w:bCs/>
          <w:sz w:val="22"/>
          <w:szCs w:val="22"/>
          <w:lang w:val="hu-HU"/>
        </w:rPr>
        <w:t xml:space="preserve"> látja, hogy a munka veszteséges lesz, mert a költségek megnövekedtek a tervezetthez képest 40 000 </w:t>
      </w:r>
      <w:proofErr w:type="spellStart"/>
      <w:r>
        <w:rPr>
          <w:bCs/>
          <w:sz w:val="22"/>
          <w:szCs w:val="22"/>
          <w:lang w:val="hu-HU"/>
        </w:rPr>
        <w:t>eFt-tal</w:t>
      </w:r>
      <w:proofErr w:type="spellEnd"/>
      <w:r>
        <w:rPr>
          <w:bCs/>
          <w:sz w:val="22"/>
          <w:szCs w:val="22"/>
          <w:lang w:val="hu-HU"/>
        </w:rPr>
        <w:t>, amelyet a megrendelő nem vállal át. A növekmény mind 2012-ben jelentkezik.</w:t>
      </w:r>
    </w:p>
    <w:p w:rsidR="004905BC" w:rsidRDefault="004905BC" w:rsidP="004905BC">
      <w:pPr>
        <w:rPr>
          <w:b/>
          <w:sz w:val="22"/>
          <w:szCs w:val="22"/>
        </w:rPr>
      </w:pPr>
    </w:p>
    <w:p w:rsidR="004905BC" w:rsidRDefault="004905BC" w:rsidP="004905BC">
      <w:pPr>
        <w:rPr>
          <w:b/>
          <w:sz w:val="22"/>
          <w:szCs w:val="22"/>
        </w:rPr>
      </w:pPr>
      <w:r>
        <w:rPr>
          <w:b/>
          <w:sz w:val="22"/>
          <w:szCs w:val="22"/>
        </w:rPr>
        <w:t>B) Pénzügyi lízing (15)</w:t>
      </w:r>
    </w:p>
    <w:p w:rsidR="004905BC" w:rsidRDefault="004905BC" w:rsidP="004905BC">
      <w:pPr>
        <w:rPr>
          <w:spacing w:val="-7"/>
          <w:sz w:val="22"/>
          <w:szCs w:val="22"/>
        </w:rPr>
      </w:pPr>
    </w:p>
    <w:p w:rsidR="004905BC" w:rsidRDefault="004905BC" w:rsidP="004905BC">
      <w:pPr>
        <w:rPr>
          <w:spacing w:val="1"/>
          <w:sz w:val="22"/>
          <w:szCs w:val="22"/>
        </w:rPr>
      </w:pPr>
      <w:proofErr w:type="spellStart"/>
      <w:r>
        <w:rPr>
          <w:spacing w:val="-7"/>
          <w:sz w:val="22"/>
          <w:szCs w:val="22"/>
        </w:rPr>
        <w:t>B-Faktor</w:t>
      </w:r>
      <w:proofErr w:type="spellEnd"/>
      <w:r>
        <w:rPr>
          <w:spacing w:val="3"/>
          <w:sz w:val="22"/>
          <w:szCs w:val="22"/>
        </w:rPr>
        <w:t xml:space="preserve"> egy </w:t>
      </w:r>
      <w:r>
        <w:rPr>
          <w:spacing w:val="5"/>
          <w:sz w:val="22"/>
          <w:szCs w:val="22"/>
        </w:rPr>
        <w:t>termelő be</w:t>
      </w:r>
      <w:r>
        <w:rPr>
          <w:spacing w:val="-1"/>
          <w:sz w:val="22"/>
          <w:szCs w:val="22"/>
        </w:rPr>
        <w:t xml:space="preserve">rendezést lízingel. A szerződést </w:t>
      </w:r>
      <w:r>
        <w:rPr>
          <w:spacing w:val="1"/>
          <w:sz w:val="22"/>
          <w:szCs w:val="22"/>
        </w:rPr>
        <w:t>a következő paraméterekkel köti meg:</w:t>
      </w:r>
    </w:p>
    <w:p w:rsidR="004905BC" w:rsidRDefault="004905BC" w:rsidP="004905BC">
      <w:pPr>
        <w:numPr>
          <w:ilvl w:val="0"/>
          <w:numId w:val="4"/>
        </w:numPr>
        <w:jc w:val="both"/>
        <w:rPr>
          <w:spacing w:val="1"/>
          <w:sz w:val="22"/>
          <w:szCs w:val="22"/>
        </w:rPr>
      </w:pPr>
      <w:r>
        <w:rPr>
          <w:sz w:val="22"/>
          <w:szCs w:val="22"/>
        </w:rPr>
        <w:t>a lízing futamidő fel nem mondható 5 év,</w:t>
      </w:r>
      <w:r w:rsidRPr="004905BC">
        <w:rPr>
          <w:spacing w:val="6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a lízing </w:t>
      </w:r>
      <w:r>
        <w:rPr>
          <w:spacing w:val="1"/>
          <w:sz w:val="22"/>
          <w:szCs w:val="22"/>
        </w:rPr>
        <w:t>megszűnésekor a lízingelt eszközt a lízingbevevő megvásárolja</w:t>
      </w:r>
    </w:p>
    <w:p w:rsidR="004905BC" w:rsidRDefault="004905BC" w:rsidP="004905BC">
      <w:pPr>
        <w:numPr>
          <w:ilvl w:val="0"/>
          <w:numId w:val="4"/>
        </w:numPr>
        <w:jc w:val="both"/>
        <w:rPr>
          <w:spacing w:val="6"/>
          <w:sz w:val="22"/>
          <w:szCs w:val="22"/>
        </w:rPr>
      </w:pPr>
      <w:r>
        <w:rPr>
          <w:sz w:val="22"/>
          <w:szCs w:val="22"/>
        </w:rPr>
        <w:t xml:space="preserve">az eszköz becsült hasznos </w:t>
      </w:r>
      <w:r>
        <w:rPr>
          <w:spacing w:val="6"/>
          <w:sz w:val="22"/>
          <w:szCs w:val="22"/>
        </w:rPr>
        <w:t>élettartama 10 év</w:t>
      </w:r>
    </w:p>
    <w:p w:rsidR="004905BC" w:rsidRDefault="004905BC" w:rsidP="004905BC">
      <w:pPr>
        <w:numPr>
          <w:ilvl w:val="0"/>
          <w:numId w:val="4"/>
        </w:numPr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a lízingügylet kezdete </w:t>
      </w:r>
      <w:proofErr w:type="gramStart"/>
      <w:r>
        <w:rPr>
          <w:spacing w:val="1"/>
          <w:sz w:val="22"/>
          <w:szCs w:val="22"/>
        </w:rPr>
        <w:t>2012 január</w:t>
      </w:r>
      <w:proofErr w:type="gramEnd"/>
      <w:r>
        <w:rPr>
          <w:spacing w:val="1"/>
          <w:sz w:val="22"/>
          <w:szCs w:val="22"/>
        </w:rPr>
        <w:t xml:space="preserve"> 1. A lízing futamideje alatt a törlesztő részletek december 31-én </w:t>
      </w:r>
      <w:r>
        <w:rPr>
          <w:spacing w:val="2"/>
          <w:sz w:val="22"/>
          <w:szCs w:val="22"/>
        </w:rPr>
        <w:t xml:space="preserve">esedékesek. </w:t>
      </w:r>
    </w:p>
    <w:p w:rsidR="004905BC" w:rsidRDefault="004905BC" w:rsidP="004905BC">
      <w:pPr>
        <w:numPr>
          <w:ilvl w:val="0"/>
          <w:numId w:val="4"/>
        </w:numPr>
        <w:jc w:val="both"/>
        <w:rPr>
          <w:spacing w:val="-15"/>
          <w:sz w:val="22"/>
          <w:szCs w:val="22"/>
        </w:rPr>
      </w:pPr>
      <w:r>
        <w:rPr>
          <w:spacing w:val="1"/>
          <w:sz w:val="22"/>
          <w:szCs w:val="22"/>
        </w:rPr>
        <w:t xml:space="preserve">közvetlen vásárlás esetén a berendezés eladási ára 120 000 </w:t>
      </w:r>
      <w:proofErr w:type="spellStart"/>
      <w:r>
        <w:rPr>
          <w:spacing w:val="1"/>
          <w:sz w:val="22"/>
          <w:szCs w:val="22"/>
        </w:rPr>
        <w:t>eFt</w:t>
      </w:r>
      <w:proofErr w:type="spellEnd"/>
    </w:p>
    <w:p w:rsidR="004905BC" w:rsidRDefault="004905BC" w:rsidP="004905BC">
      <w:pPr>
        <w:numPr>
          <w:ilvl w:val="0"/>
          <w:numId w:val="4"/>
        </w:numPr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a fizetendő minimális lízingdíj éves összege 30 000 </w:t>
      </w:r>
      <w:proofErr w:type="spellStart"/>
      <w:r>
        <w:rPr>
          <w:spacing w:val="1"/>
          <w:sz w:val="22"/>
          <w:szCs w:val="22"/>
        </w:rPr>
        <w:t>eFt</w:t>
      </w:r>
      <w:proofErr w:type="spellEnd"/>
    </w:p>
    <w:p w:rsidR="004905BC" w:rsidRDefault="004905BC" w:rsidP="004905BC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spacing w:val="1"/>
          <w:sz w:val="22"/>
          <w:szCs w:val="22"/>
        </w:rPr>
        <w:t>a lízing effektív kamatlába 11 %</w:t>
      </w:r>
    </w:p>
    <w:p w:rsidR="004905BC" w:rsidRDefault="004905BC" w:rsidP="004905BC">
      <w:pPr>
        <w:ind w:left="397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>Az eszközt a lízingbeadó 2012. február 1-jén adta át tényleges használatra. Az eszköz ekkor használatra kész állapotban van. A tényleges használata május 1-jén kezdődött meg. Az értékcsökkenési módszer lineáris. Maradvány érték a bekerülési érték 20 %-</w:t>
      </w:r>
      <w:proofErr w:type="gramStart"/>
      <w:r>
        <w:rPr>
          <w:spacing w:val="1"/>
          <w:sz w:val="22"/>
          <w:szCs w:val="22"/>
        </w:rPr>
        <w:t>a.</w:t>
      </w:r>
      <w:proofErr w:type="gramEnd"/>
      <w:r>
        <w:rPr>
          <w:spacing w:val="1"/>
          <w:sz w:val="22"/>
          <w:szCs w:val="22"/>
        </w:rPr>
        <w:t xml:space="preserve"> </w:t>
      </w:r>
    </w:p>
    <w:tbl>
      <w:tblPr>
        <w:tblW w:w="6527" w:type="dxa"/>
        <w:jc w:val="center"/>
        <w:tblInd w:w="-783" w:type="dxa"/>
        <w:tblCellMar>
          <w:left w:w="70" w:type="dxa"/>
          <w:right w:w="70" w:type="dxa"/>
        </w:tblCellMar>
        <w:tblLook w:val="04A0"/>
      </w:tblPr>
      <w:tblGrid>
        <w:gridCol w:w="1989"/>
        <w:gridCol w:w="2413"/>
        <w:gridCol w:w="2125"/>
      </w:tblGrid>
      <w:tr w:rsidR="004905BC" w:rsidTr="004905BC">
        <w:trPr>
          <w:trHeight w:val="255"/>
          <w:jc w:val="center"/>
        </w:trPr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Évek száma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5BC" w:rsidRDefault="004905BC" w:rsidP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Egy forint annuitás 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lenértéke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Egy forint jelenértéke</w:t>
            </w:r>
          </w:p>
        </w:tc>
      </w:tr>
      <w:tr w:rsidR="004905BC" w:rsidTr="004905BC">
        <w:trPr>
          <w:trHeight w:val="255"/>
          <w:jc w:val="center"/>
        </w:trPr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5BC" w:rsidRDefault="004905BC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11%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11 %</w:t>
            </w:r>
          </w:p>
        </w:tc>
      </w:tr>
      <w:tr w:rsidR="004905BC" w:rsidTr="004905BC">
        <w:trPr>
          <w:trHeight w:val="255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0,901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0,901</w:t>
            </w:r>
          </w:p>
        </w:tc>
      </w:tr>
      <w:tr w:rsidR="004905BC" w:rsidTr="004905BC">
        <w:trPr>
          <w:trHeight w:val="255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1,713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0,812</w:t>
            </w:r>
          </w:p>
        </w:tc>
      </w:tr>
      <w:tr w:rsidR="004905BC" w:rsidTr="004905BC">
        <w:trPr>
          <w:trHeight w:val="255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2,444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0,731</w:t>
            </w:r>
          </w:p>
        </w:tc>
      </w:tr>
      <w:tr w:rsidR="004905BC" w:rsidTr="004905BC">
        <w:trPr>
          <w:trHeight w:val="255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3,102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0,659</w:t>
            </w:r>
          </w:p>
        </w:tc>
      </w:tr>
      <w:tr w:rsidR="004905BC" w:rsidTr="004905BC">
        <w:trPr>
          <w:trHeight w:val="255"/>
          <w:jc w:val="center"/>
        </w:trPr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3,696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05BC" w:rsidRDefault="004905BC">
            <w:pPr>
              <w:jc w:val="center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0,593</w:t>
            </w:r>
          </w:p>
        </w:tc>
      </w:tr>
    </w:tbl>
    <w:p w:rsidR="004905BC" w:rsidRDefault="004905BC" w:rsidP="004905BC">
      <w:pPr>
        <w:rPr>
          <w:b/>
          <w:spacing w:val="1"/>
          <w:sz w:val="22"/>
          <w:szCs w:val="22"/>
        </w:rPr>
      </w:pPr>
    </w:p>
    <w:p w:rsidR="004905BC" w:rsidRPr="004905BC" w:rsidRDefault="004905BC" w:rsidP="004905BC">
      <w:pPr>
        <w:rPr>
          <w:b/>
          <w:spacing w:val="1"/>
          <w:sz w:val="22"/>
          <w:szCs w:val="22"/>
        </w:rPr>
      </w:pPr>
      <w:r w:rsidRPr="004905BC">
        <w:rPr>
          <w:b/>
          <w:spacing w:val="1"/>
          <w:sz w:val="22"/>
          <w:szCs w:val="22"/>
        </w:rPr>
        <w:t>Feladat:</w:t>
      </w:r>
    </w:p>
    <w:p w:rsidR="004905BC" w:rsidRPr="004905BC" w:rsidRDefault="004905BC" w:rsidP="004905BC">
      <w:pPr>
        <w:pStyle w:val="Listaszerbekezds"/>
        <w:numPr>
          <w:ilvl w:val="0"/>
          <w:numId w:val="4"/>
        </w:numPr>
        <w:tabs>
          <w:tab w:val="num" w:pos="426"/>
        </w:tabs>
        <w:rPr>
          <w:b/>
          <w:sz w:val="22"/>
          <w:szCs w:val="22"/>
          <w:lang w:val="hu-HU"/>
        </w:rPr>
      </w:pPr>
      <w:r w:rsidRPr="004905BC">
        <w:rPr>
          <w:b/>
          <w:spacing w:val="1"/>
          <w:sz w:val="22"/>
          <w:szCs w:val="22"/>
          <w:lang w:val="hu-HU"/>
        </w:rPr>
        <w:t>Mutassa be a szükséges elszámolási és megjelenítési fe</w:t>
      </w:r>
      <w:r w:rsidRPr="004905BC">
        <w:rPr>
          <w:b/>
          <w:sz w:val="22"/>
          <w:szCs w:val="22"/>
          <w:lang w:val="hu-HU"/>
        </w:rPr>
        <w:t>ladatokat a lízingbevevőnél 2012-re és 2013-ra vonatkozóan!</w:t>
      </w:r>
    </w:p>
    <w:p w:rsidR="004905BC" w:rsidRPr="004905BC" w:rsidRDefault="004905BC" w:rsidP="004905BC">
      <w:pPr>
        <w:pStyle w:val="Listaszerbekezds"/>
        <w:numPr>
          <w:ilvl w:val="0"/>
          <w:numId w:val="4"/>
        </w:numPr>
        <w:tabs>
          <w:tab w:val="num" w:pos="426"/>
        </w:tabs>
        <w:rPr>
          <w:b/>
          <w:sz w:val="22"/>
          <w:szCs w:val="22"/>
          <w:lang w:val="hu-HU"/>
        </w:rPr>
      </w:pPr>
      <w:r w:rsidRPr="004905BC">
        <w:rPr>
          <w:b/>
          <w:sz w:val="22"/>
          <w:szCs w:val="22"/>
          <w:lang w:val="hu-HU"/>
        </w:rPr>
        <w:t>Határozza meg a 2012. évi mérlegértékeket az eszköz és a kötelezettség esetében egyaránt!</w:t>
      </w:r>
    </w:p>
    <w:p w:rsidR="004905BC" w:rsidRDefault="004905BC" w:rsidP="004905BC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</w:t>
      </w:r>
      <w:r>
        <w:rPr>
          <w:b/>
          <w:sz w:val="22"/>
          <w:szCs w:val="22"/>
        </w:rPr>
        <w:tab/>
        <w:t>C- Faktor</w:t>
      </w:r>
    </w:p>
    <w:p w:rsidR="004905BC" w:rsidRDefault="004905BC" w:rsidP="004905BC">
      <w:pPr>
        <w:rPr>
          <w:b/>
          <w:sz w:val="22"/>
          <w:szCs w:val="22"/>
        </w:rPr>
      </w:pPr>
    </w:p>
    <w:p w:rsidR="004905BC" w:rsidRDefault="004905BC" w:rsidP="004905BC">
      <w:pPr>
        <w:rPr>
          <w:b/>
          <w:sz w:val="22"/>
          <w:szCs w:val="22"/>
        </w:rPr>
      </w:pPr>
      <w:r>
        <w:rPr>
          <w:b/>
          <w:sz w:val="22"/>
          <w:szCs w:val="22"/>
        </w:rPr>
        <w:t>A) Halasztott adó (15)</w:t>
      </w:r>
    </w:p>
    <w:p w:rsidR="004905BC" w:rsidRDefault="004905BC" w:rsidP="004905BC">
      <w:pPr>
        <w:jc w:val="both"/>
        <w:rPr>
          <w:sz w:val="22"/>
          <w:szCs w:val="22"/>
        </w:rPr>
      </w:pPr>
      <w:r>
        <w:rPr>
          <w:sz w:val="22"/>
          <w:szCs w:val="22"/>
        </w:rPr>
        <w:t>C- Faktor a következő eltérések azonosította eszközeinek és kötelezettségeinek könyv szerinti értéke és adóértéke között.</w:t>
      </w:r>
    </w:p>
    <w:p w:rsidR="004905BC" w:rsidRDefault="004905BC" w:rsidP="004905B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ingatlanok, gépek, berendezések könyv szerinti értéke 160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 xml:space="preserve">, adóértéke 180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 xml:space="preserve">. </w:t>
      </w:r>
    </w:p>
    <w:p w:rsidR="004905BC" w:rsidRDefault="004905BC" w:rsidP="004905B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Vevőköveteléseinek összege 130 M Ft, az adott évben elszámolt értékvesztés 20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>, a halmozott értékvesztés 34 M Ft. Az adótörvények vagy behajthatatlan követelésként vagy visszaírt értékveszésként engedik meg az adóalapban érvényesíteni az értékvesztést.</w:t>
      </w:r>
    </w:p>
    <w:p w:rsidR="004905BC" w:rsidRDefault="004905BC" w:rsidP="004905B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év során beszerzett egy pénzügyi instrumentumot 30 </w:t>
      </w:r>
      <w:proofErr w:type="spellStart"/>
      <w:r>
        <w:rPr>
          <w:sz w:val="22"/>
          <w:szCs w:val="22"/>
        </w:rPr>
        <w:t>MFt-ért</w:t>
      </w:r>
      <w:proofErr w:type="spellEnd"/>
      <w:r>
        <w:rPr>
          <w:sz w:val="22"/>
          <w:szCs w:val="22"/>
        </w:rPr>
        <w:t xml:space="preserve">, amelyet értékesíthető kategóriába sorolt. Év végén (helyesen) átértékelte az instrumentumot 33 </w:t>
      </w:r>
      <w:proofErr w:type="spellStart"/>
      <w:r>
        <w:rPr>
          <w:sz w:val="22"/>
          <w:szCs w:val="22"/>
        </w:rPr>
        <w:t>MFt-ra</w:t>
      </w:r>
      <w:proofErr w:type="spellEnd"/>
      <w:r>
        <w:rPr>
          <w:sz w:val="22"/>
          <w:szCs w:val="22"/>
        </w:rPr>
        <w:t>. Az átértékelési többlet nem adóköteles. Az átértékelést az egyéb átfogó eredménnyel szemben számolták el (mely végül az átértékelési többletben – a saját tőkében – csapódott le).</w:t>
      </w:r>
    </w:p>
    <w:p w:rsidR="004905BC" w:rsidRDefault="004905BC" w:rsidP="004905B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cég kötelezettségei között kimutat egy bírságot is, 10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 xml:space="preserve"> értékben, amelyet az adószabályok nem ismernek el adóalapot csökkentő ráfordításként. </w:t>
      </w:r>
    </w:p>
    <w:p w:rsidR="004905BC" w:rsidRDefault="004905BC" w:rsidP="004905B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tárgyévben képzett céltartalék összege 13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 xml:space="preserve">, a halmozott értéke 15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>. Az adójogszabályok a felhasználáskor ismerik el a céltartalékot ráfordításként.</w:t>
      </w:r>
    </w:p>
    <w:p w:rsidR="004905BC" w:rsidRDefault="004905BC" w:rsidP="004905BC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C-Faktor</w:t>
      </w:r>
      <w:proofErr w:type="spellEnd"/>
      <w:r>
        <w:rPr>
          <w:sz w:val="22"/>
          <w:szCs w:val="22"/>
        </w:rPr>
        <w:t xml:space="preserve"> az előző évben 12 </w:t>
      </w:r>
      <w:proofErr w:type="spellStart"/>
      <w:r>
        <w:rPr>
          <w:sz w:val="22"/>
          <w:szCs w:val="22"/>
        </w:rPr>
        <w:t>MFt</w:t>
      </w:r>
      <w:proofErr w:type="spellEnd"/>
      <w:r>
        <w:rPr>
          <w:sz w:val="22"/>
          <w:szCs w:val="22"/>
        </w:rPr>
        <w:t xml:space="preserve"> összegű halasztott adókövetelést szerepeltetett pénzügyi kimutatásában eredménnyel szemben elszámolva. A társaság üzleti tervei alátámasztják a halasztott adókövetelés kimutathatóságát. Az előző években ugyanezen tételekből keletkezett a 12 M Ft halasztott adó követelés. </w:t>
      </w:r>
    </w:p>
    <w:p w:rsidR="004905BC" w:rsidRDefault="004905BC" w:rsidP="004905B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adókulcs tavaly 10 % volt, idén 15 </w:t>
      </w:r>
      <w:proofErr w:type="spellStart"/>
      <w:r>
        <w:rPr>
          <w:sz w:val="22"/>
          <w:szCs w:val="22"/>
        </w:rPr>
        <w:t>%ra</w:t>
      </w:r>
      <w:proofErr w:type="spellEnd"/>
      <w:r>
        <w:rPr>
          <w:sz w:val="22"/>
          <w:szCs w:val="22"/>
        </w:rPr>
        <w:t xml:space="preserve"> emelkedett.</w:t>
      </w:r>
    </w:p>
    <w:p w:rsidR="004905BC" w:rsidRDefault="004905BC" w:rsidP="004905BC">
      <w:pPr>
        <w:jc w:val="both"/>
        <w:rPr>
          <w:sz w:val="22"/>
          <w:szCs w:val="22"/>
        </w:rPr>
      </w:pPr>
    </w:p>
    <w:p w:rsidR="004905BC" w:rsidRPr="004905BC" w:rsidRDefault="004905BC" w:rsidP="004905BC">
      <w:pPr>
        <w:jc w:val="both"/>
        <w:rPr>
          <w:b/>
          <w:sz w:val="22"/>
          <w:szCs w:val="22"/>
        </w:rPr>
      </w:pPr>
      <w:r w:rsidRPr="004905BC">
        <w:rPr>
          <w:b/>
          <w:sz w:val="22"/>
          <w:szCs w:val="22"/>
        </w:rPr>
        <w:t>Feladat:</w:t>
      </w:r>
    </w:p>
    <w:p w:rsidR="004905BC" w:rsidRPr="004905BC" w:rsidRDefault="004905BC" w:rsidP="004905BC">
      <w:pPr>
        <w:pStyle w:val="Szvegtrzs"/>
        <w:numPr>
          <w:ilvl w:val="0"/>
          <w:numId w:val="6"/>
        </w:numPr>
        <w:spacing w:after="0"/>
        <w:rPr>
          <w:b/>
          <w:sz w:val="22"/>
          <w:szCs w:val="22"/>
        </w:rPr>
      </w:pPr>
      <w:r w:rsidRPr="004905BC">
        <w:rPr>
          <w:b/>
          <w:sz w:val="22"/>
          <w:szCs w:val="22"/>
        </w:rPr>
        <w:t xml:space="preserve">Mekkora halasztott adó jelenik meg </w:t>
      </w:r>
      <w:proofErr w:type="spellStart"/>
      <w:r w:rsidRPr="004905BC">
        <w:rPr>
          <w:b/>
          <w:sz w:val="22"/>
          <w:szCs w:val="22"/>
        </w:rPr>
        <w:t>C-Faktor</w:t>
      </w:r>
      <w:proofErr w:type="spellEnd"/>
      <w:r w:rsidRPr="004905BC">
        <w:rPr>
          <w:b/>
          <w:sz w:val="22"/>
          <w:szCs w:val="22"/>
        </w:rPr>
        <w:t xml:space="preserve"> mérlegében 2012-ben? </w:t>
      </w:r>
    </w:p>
    <w:p w:rsidR="004905BC" w:rsidRPr="004905BC" w:rsidRDefault="004905BC" w:rsidP="004905BC">
      <w:pPr>
        <w:pStyle w:val="Szvegtrzs"/>
        <w:numPr>
          <w:ilvl w:val="0"/>
          <w:numId w:val="6"/>
        </w:numPr>
        <w:spacing w:after="0"/>
        <w:rPr>
          <w:b/>
          <w:sz w:val="22"/>
          <w:szCs w:val="22"/>
        </w:rPr>
      </w:pPr>
      <w:r w:rsidRPr="004905BC">
        <w:rPr>
          <w:b/>
          <w:sz w:val="22"/>
          <w:szCs w:val="22"/>
        </w:rPr>
        <w:t xml:space="preserve">Milyen hatás jelentkezik az eredményben, illetve az egyéb átfogó eredményben? </w:t>
      </w:r>
    </w:p>
    <w:p w:rsidR="004905BC" w:rsidRDefault="004905BC" w:rsidP="004905BC">
      <w:pPr>
        <w:pStyle w:val="Szvegtrzs"/>
        <w:spacing w:after="0"/>
        <w:jc w:val="both"/>
        <w:rPr>
          <w:sz w:val="22"/>
          <w:szCs w:val="22"/>
        </w:rPr>
      </w:pPr>
    </w:p>
    <w:p w:rsidR="004905BC" w:rsidRDefault="004905BC" w:rsidP="004905BC">
      <w:pPr>
        <w:pStyle w:val="Szvegtrzs"/>
        <w:spacing w:after="0"/>
        <w:jc w:val="both"/>
        <w:rPr>
          <w:sz w:val="22"/>
          <w:szCs w:val="22"/>
        </w:rPr>
      </w:pPr>
    </w:p>
    <w:p w:rsidR="004905BC" w:rsidRPr="004905BC" w:rsidRDefault="004905BC" w:rsidP="004905BC">
      <w:pPr>
        <w:pStyle w:val="Szvegtrzs"/>
        <w:spacing w:after="0"/>
        <w:jc w:val="both"/>
        <w:rPr>
          <w:b/>
          <w:sz w:val="22"/>
          <w:szCs w:val="22"/>
        </w:rPr>
      </w:pPr>
      <w:r w:rsidRPr="004905BC">
        <w:rPr>
          <w:b/>
          <w:sz w:val="22"/>
          <w:szCs w:val="22"/>
        </w:rPr>
        <w:t xml:space="preserve">B) </w:t>
      </w:r>
      <w:r>
        <w:rPr>
          <w:b/>
          <w:sz w:val="22"/>
          <w:szCs w:val="22"/>
        </w:rPr>
        <w:t>Társult vállalakozás</w:t>
      </w:r>
      <w:r w:rsidRPr="004905BC">
        <w:rPr>
          <w:b/>
          <w:sz w:val="22"/>
          <w:szCs w:val="22"/>
        </w:rPr>
        <w:t xml:space="preserve"> elszámolások (10)</w:t>
      </w:r>
    </w:p>
    <w:p w:rsidR="004905BC" w:rsidRDefault="004905BC" w:rsidP="004905BC">
      <w:pPr>
        <w:pStyle w:val="Szvegtrzs"/>
        <w:spacing w:after="0"/>
        <w:jc w:val="both"/>
        <w:rPr>
          <w:sz w:val="22"/>
          <w:szCs w:val="22"/>
        </w:rPr>
      </w:pPr>
    </w:p>
    <w:p w:rsidR="004905BC" w:rsidRPr="004905BC" w:rsidRDefault="004905BC" w:rsidP="004905BC">
      <w:pPr>
        <w:pStyle w:val="Szvegtrzs"/>
        <w:spacing w:after="0"/>
        <w:jc w:val="both"/>
        <w:rPr>
          <w:sz w:val="22"/>
          <w:szCs w:val="22"/>
        </w:rPr>
      </w:pPr>
      <w:r w:rsidRPr="004905BC">
        <w:rPr>
          <w:sz w:val="22"/>
          <w:szCs w:val="22"/>
        </w:rPr>
        <w:t>Tegyük fel, hogy</w:t>
      </w:r>
      <w:r>
        <w:rPr>
          <w:sz w:val="22"/>
          <w:szCs w:val="22"/>
        </w:rPr>
        <w:t xml:space="preserve"> </w:t>
      </w:r>
      <w:r w:rsidRPr="004905BC">
        <w:rPr>
          <w:sz w:val="22"/>
          <w:szCs w:val="22"/>
        </w:rPr>
        <w:t xml:space="preserve">20X0. december 31-én P társaság 1,000$-t fektet be S társaságba és megszerzi S társaság részvényeinek 30%-át (a tranzakció készpénzben történik), S társaság társult vállalkoznak minősül. </w:t>
      </w:r>
    </w:p>
    <w:p w:rsidR="004905BC" w:rsidRPr="004905BC" w:rsidRDefault="004905BC" w:rsidP="004905BC">
      <w:pPr>
        <w:pStyle w:val="Szvegtrzs"/>
        <w:spacing w:after="0"/>
        <w:jc w:val="both"/>
        <w:rPr>
          <w:sz w:val="22"/>
          <w:szCs w:val="22"/>
        </w:rPr>
      </w:pPr>
      <w:r w:rsidRPr="004905BC">
        <w:rPr>
          <w:sz w:val="22"/>
          <w:szCs w:val="22"/>
        </w:rPr>
        <w:t>A későbbi működés során a következő információk válnak ismertté:</w:t>
      </w:r>
    </w:p>
    <w:p w:rsidR="004905BC" w:rsidRPr="004905BC" w:rsidRDefault="004905BC" w:rsidP="004905BC">
      <w:pPr>
        <w:pStyle w:val="Szvegtrzs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4905BC">
        <w:rPr>
          <w:sz w:val="22"/>
          <w:szCs w:val="22"/>
        </w:rPr>
        <w:t>20</w:t>
      </w:r>
      <w:r>
        <w:rPr>
          <w:sz w:val="22"/>
          <w:szCs w:val="22"/>
        </w:rPr>
        <w:t>X</w:t>
      </w:r>
      <w:r w:rsidRPr="004905BC">
        <w:rPr>
          <w:sz w:val="22"/>
          <w:szCs w:val="22"/>
        </w:rPr>
        <w:t>1 során az S társaság 400$ nyereséget termel és tulajdonosainak összesen 100$ osztalékot fizet.</w:t>
      </w:r>
    </w:p>
    <w:p w:rsidR="004905BC" w:rsidRPr="004905BC" w:rsidRDefault="004905BC" w:rsidP="004905BC">
      <w:pPr>
        <w:pStyle w:val="Szvegtrzs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20X</w:t>
      </w:r>
      <w:r w:rsidRPr="004905BC">
        <w:rPr>
          <w:sz w:val="22"/>
          <w:szCs w:val="22"/>
        </w:rPr>
        <w:t>2 során az S társaság 600$ nyereséget termel és tulajdonosainak összesen 150$ osztalékot fizet.</w:t>
      </w:r>
    </w:p>
    <w:p w:rsidR="004905BC" w:rsidRPr="004905BC" w:rsidRDefault="004905BC" w:rsidP="004905BC">
      <w:pPr>
        <w:pStyle w:val="Szvegtrzs"/>
        <w:spacing w:after="0"/>
        <w:jc w:val="both"/>
        <w:rPr>
          <w:b/>
          <w:bCs/>
          <w:sz w:val="22"/>
          <w:szCs w:val="22"/>
        </w:rPr>
      </w:pPr>
    </w:p>
    <w:p w:rsidR="004905BC" w:rsidRPr="004905BC" w:rsidRDefault="004905BC" w:rsidP="004905BC">
      <w:pPr>
        <w:pStyle w:val="Szvegtrzs"/>
        <w:spacing w:after="0"/>
        <w:jc w:val="both"/>
        <w:rPr>
          <w:sz w:val="22"/>
          <w:szCs w:val="22"/>
        </w:rPr>
      </w:pPr>
      <w:r w:rsidRPr="004905BC">
        <w:rPr>
          <w:bCs/>
          <w:sz w:val="22"/>
          <w:szCs w:val="22"/>
        </w:rPr>
        <w:t xml:space="preserve">Mutassa be, hogy </w:t>
      </w:r>
      <w:r w:rsidRPr="004905BC">
        <w:rPr>
          <w:sz w:val="22"/>
          <w:szCs w:val="22"/>
        </w:rPr>
        <w:t xml:space="preserve">S társaságban milyen hatást gyakorol P mérlegére, átfogó </w:t>
      </w:r>
      <w:proofErr w:type="spellStart"/>
      <w:r w:rsidRPr="004905BC">
        <w:rPr>
          <w:sz w:val="22"/>
          <w:szCs w:val="22"/>
        </w:rPr>
        <w:t>eredménykimutatására</w:t>
      </w:r>
      <w:proofErr w:type="spellEnd"/>
      <w:r w:rsidRPr="004905BC">
        <w:rPr>
          <w:sz w:val="22"/>
          <w:szCs w:val="22"/>
        </w:rPr>
        <w:t xml:space="preserve"> és cash </w:t>
      </w:r>
      <w:proofErr w:type="spellStart"/>
      <w:r w:rsidRPr="004905BC">
        <w:rPr>
          <w:sz w:val="22"/>
          <w:szCs w:val="22"/>
        </w:rPr>
        <w:t>flowjára</w:t>
      </w:r>
      <w:proofErr w:type="spellEnd"/>
      <w:r w:rsidRPr="004905BC">
        <w:rPr>
          <w:sz w:val="22"/>
          <w:szCs w:val="22"/>
        </w:rPr>
        <w:t>! A válaszát a következő táblázatban összegezze, az előjeleket tüntesse föl:</w:t>
      </w:r>
    </w:p>
    <w:p w:rsidR="004905BC" w:rsidRPr="004905BC" w:rsidRDefault="004905BC" w:rsidP="004905BC">
      <w:pPr>
        <w:pStyle w:val="Szvegtrzs"/>
        <w:spacing w:after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0" w:type="dxa"/>
        <w:tblLook w:val="04A0"/>
      </w:tblPr>
      <w:tblGrid>
        <w:gridCol w:w="2404"/>
        <w:gridCol w:w="2294"/>
        <w:gridCol w:w="2295"/>
        <w:gridCol w:w="2295"/>
      </w:tblGrid>
      <w:tr w:rsidR="004905BC" w:rsidRPr="004905BC" w:rsidTr="004905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4905BC">
              <w:rPr>
                <w:sz w:val="22"/>
                <w:szCs w:val="22"/>
              </w:rPr>
              <w:t>Időszak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905BC">
              <w:rPr>
                <w:b/>
                <w:sz w:val="22"/>
                <w:szCs w:val="22"/>
              </w:rPr>
              <w:t>20X0.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905BC">
              <w:rPr>
                <w:b/>
                <w:sz w:val="22"/>
                <w:szCs w:val="22"/>
              </w:rPr>
              <w:t>20X1.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905BC">
              <w:rPr>
                <w:b/>
                <w:sz w:val="22"/>
                <w:szCs w:val="22"/>
              </w:rPr>
              <w:t>20X2.</w:t>
            </w:r>
          </w:p>
        </w:tc>
      </w:tr>
      <w:tr w:rsidR="004905BC" w:rsidRPr="004905BC" w:rsidTr="004905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4905BC">
              <w:rPr>
                <w:sz w:val="22"/>
                <w:szCs w:val="22"/>
              </w:rPr>
              <w:t>Mérlegérték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05BC" w:rsidRPr="004905BC" w:rsidTr="004905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4905BC">
              <w:rPr>
                <w:sz w:val="22"/>
                <w:szCs w:val="22"/>
              </w:rPr>
              <w:t>Eredményhatás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05BC" w:rsidRPr="004905BC" w:rsidTr="004905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4905BC">
              <w:rPr>
                <w:sz w:val="22"/>
                <w:szCs w:val="22"/>
              </w:rPr>
              <w:t>CF hatás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BC" w:rsidRPr="004905BC" w:rsidRDefault="004905BC" w:rsidP="004905BC">
            <w:pPr>
              <w:pStyle w:val="Szvegtrzs"/>
              <w:spacing w:after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905BC" w:rsidRPr="004905BC" w:rsidRDefault="004905BC" w:rsidP="004905BC">
      <w:pPr>
        <w:rPr>
          <w:b/>
          <w:sz w:val="22"/>
          <w:szCs w:val="22"/>
        </w:rPr>
      </w:pPr>
    </w:p>
    <w:p w:rsidR="004905BC" w:rsidRPr="004905BC" w:rsidRDefault="004905BC" w:rsidP="004905BC">
      <w:pPr>
        <w:rPr>
          <w:bCs/>
          <w:sz w:val="22"/>
          <w:szCs w:val="22"/>
        </w:rPr>
      </w:pPr>
    </w:p>
    <w:sectPr w:rsidR="004905BC" w:rsidRPr="004905BC" w:rsidSect="00A265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A8" w:rsidRDefault="002044A8" w:rsidP="00040ADB">
      <w:r>
        <w:separator/>
      </w:r>
    </w:p>
  </w:endnote>
  <w:endnote w:type="continuationSeparator" w:id="0">
    <w:p w:rsidR="002044A8" w:rsidRDefault="002044A8" w:rsidP="00040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sGothic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6797"/>
      <w:docPartObj>
        <w:docPartGallery w:val="Page Numbers (Bottom of Page)"/>
        <w:docPartUnique/>
      </w:docPartObj>
    </w:sdtPr>
    <w:sdtContent>
      <w:p w:rsidR="00040ADB" w:rsidRDefault="00040ADB">
        <w:pPr>
          <w:pStyle w:val="llb"/>
          <w:jc w:val="right"/>
        </w:pPr>
        <w:fldSimple w:instr=" PAGE   \* MERGEFORMAT ">
          <w:r w:rsidR="003730A3">
            <w:rPr>
              <w:noProof/>
            </w:rPr>
            <w:t>7</w:t>
          </w:r>
        </w:fldSimple>
      </w:p>
    </w:sdtContent>
  </w:sdt>
  <w:p w:rsidR="00040ADB" w:rsidRDefault="00040AD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A8" w:rsidRDefault="002044A8" w:rsidP="00040ADB">
      <w:r>
        <w:separator/>
      </w:r>
    </w:p>
  </w:footnote>
  <w:footnote w:type="continuationSeparator" w:id="0">
    <w:p w:rsidR="002044A8" w:rsidRDefault="002044A8" w:rsidP="00040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A4"/>
    <w:multiLevelType w:val="hybridMultilevel"/>
    <w:tmpl w:val="7E74C05A"/>
    <w:lvl w:ilvl="0" w:tplc="F1FAB52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D2144"/>
    <w:multiLevelType w:val="hybridMultilevel"/>
    <w:tmpl w:val="FADC50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0310D"/>
    <w:multiLevelType w:val="hybridMultilevel"/>
    <w:tmpl w:val="0DD4F0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12150"/>
    <w:multiLevelType w:val="hybridMultilevel"/>
    <w:tmpl w:val="21B0E3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825F0"/>
    <w:multiLevelType w:val="hybridMultilevel"/>
    <w:tmpl w:val="58901666"/>
    <w:lvl w:ilvl="0" w:tplc="F1FAB5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386387"/>
    <w:multiLevelType w:val="hybridMultilevel"/>
    <w:tmpl w:val="09683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5677C"/>
    <w:multiLevelType w:val="hybridMultilevel"/>
    <w:tmpl w:val="850821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ADB"/>
    <w:rsid w:val="00040ADB"/>
    <w:rsid w:val="000B6417"/>
    <w:rsid w:val="002044A8"/>
    <w:rsid w:val="0022174C"/>
    <w:rsid w:val="00351930"/>
    <w:rsid w:val="003730A3"/>
    <w:rsid w:val="004905BC"/>
    <w:rsid w:val="00536C16"/>
    <w:rsid w:val="00896885"/>
    <w:rsid w:val="00914448"/>
    <w:rsid w:val="00A26516"/>
    <w:rsid w:val="00BD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AD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0A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ADB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040ADB"/>
    <w:pPr>
      <w:spacing w:after="200"/>
      <w:ind w:left="720"/>
      <w:contextualSpacing/>
      <w:jc w:val="both"/>
    </w:pPr>
    <w:rPr>
      <w:lang w:val="en-US"/>
    </w:rPr>
  </w:style>
  <w:style w:type="table" w:styleId="Rcsostblzat">
    <w:name w:val="Table Grid"/>
    <w:basedOn w:val="Normltblzat"/>
    <w:rsid w:val="00040ADB"/>
    <w:pPr>
      <w:spacing w:after="0" w:line="240" w:lineRule="auto"/>
    </w:pPr>
    <w:rPr>
      <w:rFonts w:ascii="Cambria" w:eastAsia="MS ??" w:hAnsi="Cambria" w:cs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040AD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ADB"/>
    <w:rPr>
      <w:rFonts w:ascii="Calibri" w:eastAsia="Times New Roman" w:hAnsi="Calibri" w:cs="Calibri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40ADB"/>
    <w:rPr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040A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0ADB"/>
    <w:rPr>
      <w:rFonts w:ascii="Calibri" w:eastAsia="Times New Roman" w:hAnsi="Calibri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40A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0ADB"/>
    <w:rPr>
      <w:rFonts w:ascii="Calibri" w:eastAsia="Times New Roman" w:hAnsi="Calibri" w:cs="Calibri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905B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905BC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1906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</dc:creator>
  <cp:lastModifiedBy>oktato</cp:lastModifiedBy>
  <cp:revision>9</cp:revision>
  <cp:lastPrinted>2013-02-19T11:29:00Z</cp:lastPrinted>
  <dcterms:created xsi:type="dcterms:W3CDTF">2013-02-19T10:32:00Z</dcterms:created>
  <dcterms:modified xsi:type="dcterms:W3CDTF">2013-02-19T11:33:00Z</dcterms:modified>
</cp:coreProperties>
</file>